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1B3" w:rsidRDefault="00B331B3">
      <w:pPr>
        <w:spacing w:line="360" w:lineRule="auto"/>
        <w:ind w:left="567" w:right="-52"/>
        <w:rPr>
          <w:sz w:val="20"/>
          <w:szCs w:val="20"/>
        </w:rPr>
      </w:pPr>
      <w:bookmarkStart w:id="0" w:name="_GoBack"/>
      <w:bookmarkEnd w:id="0"/>
    </w:p>
    <w:p w:rsidR="00B331B3" w:rsidRDefault="00B331B3">
      <w:pPr>
        <w:spacing w:line="360" w:lineRule="auto"/>
        <w:ind w:left="567" w:right="-52"/>
        <w:rPr>
          <w:sz w:val="20"/>
          <w:szCs w:val="20"/>
        </w:rPr>
      </w:pPr>
    </w:p>
    <w:p w:rsidR="00B331B3" w:rsidRDefault="00B331B3">
      <w:pPr>
        <w:spacing w:line="360" w:lineRule="auto"/>
        <w:ind w:left="567" w:right="-52"/>
        <w:rPr>
          <w:sz w:val="20"/>
          <w:szCs w:val="20"/>
        </w:rPr>
      </w:pPr>
    </w:p>
    <w:p w:rsidR="00B331B3" w:rsidRDefault="00B331B3">
      <w:pPr>
        <w:spacing w:line="360" w:lineRule="auto"/>
        <w:ind w:left="567" w:right="-52"/>
        <w:rPr>
          <w:sz w:val="20"/>
          <w:szCs w:val="20"/>
        </w:rPr>
      </w:pPr>
    </w:p>
    <w:p w:rsidR="00B331B3" w:rsidRDefault="00B331B3">
      <w:pPr>
        <w:spacing w:line="360" w:lineRule="auto"/>
        <w:ind w:left="567" w:right="-52"/>
        <w:rPr>
          <w:sz w:val="20"/>
          <w:szCs w:val="20"/>
        </w:rPr>
      </w:pPr>
    </w:p>
    <w:p w:rsidR="00B331B3" w:rsidRDefault="00B331B3">
      <w:pPr>
        <w:spacing w:line="360" w:lineRule="auto"/>
        <w:ind w:left="567" w:right="-52"/>
        <w:rPr>
          <w:sz w:val="20"/>
          <w:szCs w:val="20"/>
        </w:rPr>
      </w:pPr>
    </w:p>
    <w:p w:rsidR="00B331B3" w:rsidRDefault="00B331B3">
      <w:pPr>
        <w:spacing w:line="360" w:lineRule="auto"/>
        <w:ind w:left="567" w:right="-52"/>
        <w:rPr>
          <w:sz w:val="20"/>
          <w:szCs w:val="20"/>
        </w:rPr>
      </w:pPr>
    </w:p>
    <w:p w:rsidR="00B331B3" w:rsidRDefault="00B331B3">
      <w:pPr>
        <w:spacing w:line="360" w:lineRule="auto"/>
        <w:ind w:left="567" w:right="-52"/>
        <w:rPr>
          <w:sz w:val="20"/>
          <w:szCs w:val="20"/>
        </w:rPr>
      </w:pPr>
    </w:p>
    <w:p w:rsidR="00B331B3" w:rsidRDefault="00B331B3">
      <w:pPr>
        <w:spacing w:line="360" w:lineRule="auto"/>
        <w:ind w:left="567" w:right="-52"/>
        <w:rPr>
          <w:sz w:val="20"/>
          <w:szCs w:val="20"/>
        </w:rPr>
      </w:pPr>
    </w:p>
    <w:p w:rsidR="00B331B3" w:rsidRDefault="00B331B3">
      <w:pPr>
        <w:spacing w:line="360" w:lineRule="auto"/>
        <w:ind w:left="567" w:right="-52"/>
        <w:rPr>
          <w:sz w:val="20"/>
          <w:szCs w:val="20"/>
        </w:rPr>
      </w:pPr>
    </w:p>
    <w:p w:rsidR="00B331B3" w:rsidRPr="009F4F80" w:rsidRDefault="00DC3704" w:rsidP="00DC3704">
      <w:pPr>
        <w:spacing w:line="360" w:lineRule="auto"/>
        <w:ind w:left="567" w:right="-52"/>
        <w:jc w:val="center"/>
        <w:rPr>
          <w:b/>
          <w:bCs/>
          <w:sz w:val="32"/>
          <w:szCs w:val="32"/>
        </w:rPr>
      </w:pPr>
      <w:r>
        <w:rPr>
          <w:b/>
          <w:bCs/>
          <w:sz w:val="32"/>
          <w:szCs w:val="32"/>
        </w:rPr>
        <w:t>An Investigation of the Psychometric Properties of the Personal Wellbeing Index (PWI)</w:t>
      </w:r>
    </w:p>
    <w:p w:rsidR="00B331B3" w:rsidRDefault="00B331B3">
      <w:pPr>
        <w:spacing w:line="360" w:lineRule="auto"/>
        <w:ind w:left="567" w:right="-52"/>
        <w:jc w:val="center"/>
        <w:rPr>
          <w:b/>
          <w:bCs/>
          <w:sz w:val="32"/>
          <w:szCs w:val="32"/>
        </w:rPr>
      </w:pPr>
    </w:p>
    <w:p w:rsidR="00B331B3" w:rsidRPr="009F4F80" w:rsidRDefault="00DC3704">
      <w:pPr>
        <w:spacing w:line="360" w:lineRule="auto"/>
        <w:ind w:left="567" w:right="-52"/>
        <w:jc w:val="center"/>
        <w:rPr>
          <w:sz w:val="32"/>
          <w:szCs w:val="32"/>
        </w:rPr>
      </w:pPr>
      <w:r>
        <w:rPr>
          <w:sz w:val="32"/>
          <w:szCs w:val="32"/>
        </w:rPr>
        <w:t>Nikki Cameron</w:t>
      </w:r>
    </w:p>
    <w:p w:rsidR="00B331B3" w:rsidRDefault="00B331B3">
      <w:pPr>
        <w:spacing w:line="360" w:lineRule="auto"/>
        <w:ind w:left="567" w:right="-52"/>
        <w:jc w:val="center"/>
        <w:rPr>
          <w:sz w:val="32"/>
          <w:szCs w:val="32"/>
        </w:rPr>
      </w:pPr>
    </w:p>
    <w:p w:rsidR="00E4415C" w:rsidRDefault="00E4415C" w:rsidP="00E4415C">
      <w:pPr>
        <w:spacing w:line="360" w:lineRule="auto"/>
        <w:ind w:right="-52"/>
        <w:rPr>
          <w:sz w:val="32"/>
          <w:szCs w:val="32"/>
        </w:rPr>
      </w:pPr>
    </w:p>
    <w:p w:rsidR="00E4415C" w:rsidRDefault="00E4415C" w:rsidP="00E4415C">
      <w:pPr>
        <w:spacing w:line="360" w:lineRule="auto"/>
        <w:ind w:right="-52"/>
        <w:rPr>
          <w:sz w:val="32"/>
          <w:szCs w:val="32"/>
        </w:rPr>
      </w:pPr>
    </w:p>
    <w:p w:rsidR="00B331B3" w:rsidRDefault="00B331B3">
      <w:pPr>
        <w:spacing w:line="360" w:lineRule="auto"/>
        <w:ind w:left="567" w:right="-52"/>
        <w:jc w:val="center"/>
        <w:rPr>
          <w:sz w:val="32"/>
          <w:szCs w:val="32"/>
        </w:rPr>
      </w:pPr>
    </w:p>
    <w:p w:rsidR="00B331B3" w:rsidRDefault="00B331B3">
      <w:pPr>
        <w:spacing w:line="360" w:lineRule="auto"/>
        <w:ind w:left="567" w:right="-52"/>
        <w:jc w:val="center"/>
        <w:rPr>
          <w:sz w:val="32"/>
          <w:szCs w:val="32"/>
        </w:rPr>
      </w:pPr>
    </w:p>
    <w:p w:rsidR="00B331B3" w:rsidRDefault="00B331B3">
      <w:pPr>
        <w:spacing w:line="360" w:lineRule="auto"/>
        <w:ind w:left="567" w:right="-52"/>
        <w:jc w:val="center"/>
        <w:rPr>
          <w:sz w:val="32"/>
          <w:szCs w:val="32"/>
        </w:rPr>
      </w:pPr>
      <w:r>
        <w:rPr>
          <w:sz w:val="32"/>
          <w:szCs w:val="32"/>
        </w:rPr>
        <w:t xml:space="preserve">submitted in partial </w:t>
      </w:r>
      <w:r w:rsidR="00E4415C">
        <w:rPr>
          <w:sz w:val="32"/>
          <w:szCs w:val="32"/>
        </w:rPr>
        <w:t>fulfillment</w:t>
      </w:r>
      <w:r>
        <w:rPr>
          <w:sz w:val="32"/>
          <w:szCs w:val="32"/>
        </w:rPr>
        <w:t xml:space="preserve"> of the requirements</w:t>
      </w:r>
    </w:p>
    <w:p w:rsidR="00E4415C" w:rsidRDefault="00B331B3" w:rsidP="00E4415C">
      <w:pPr>
        <w:spacing w:line="360" w:lineRule="auto"/>
        <w:ind w:left="567" w:right="-52"/>
        <w:jc w:val="center"/>
        <w:rPr>
          <w:sz w:val="32"/>
          <w:szCs w:val="32"/>
        </w:rPr>
      </w:pPr>
      <w:r>
        <w:rPr>
          <w:sz w:val="32"/>
          <w:szCs w:val="32"/>
        </w:rPr>
        <w:t xml:space="preserve">for the award of </w:t>
      </w:r>
      <w:r w:rsidR="00DC3704">
        <w:rPr>
          <w:sz w:val="32"/>
          <w:szCs w:val="32"/>
        </w:rPr>
        <w:t>Bachelor of Psychology (Honours)</w:t>
      </w:r>
    </w:p>
    <w:p w:rsidR="00724CB4" w:rsidRDefault="00724CB4">
      <w:pPr>
        <w:spacing w:line="360" w:lineRule="auto"/>
        <w:ind w:left="567" w:right="-52"/>
        <w:jc w:val="center"/>
        <w:rPr>
          <w:sz w:val="32"/>
          <w:szCs w:val="32"/>
        </w:rPr>
      </w:pPr>
    </w:p>
    <w:p w:rsidR="00B331B3" w:rsidRDefault="00B331B3">
      <w:pPr>
        <w:spacing w:line="360" w:lineRule="auto"/>
        <w:ind w:left="567" w:right="-52"/>
        <w:jc w:val="center"/>
        <w:rPr>
          <w:sz w:val="32"/>
          <w:szCs w:val="32"/>
        </w:rPr>
      </w:pPr>
      <w:r>
        <w:rPr>
          <w:sz w:val="32"/>
          <w:szCs w:val="32"/>
        </w:rPr>
        <w:t>School of Psychology</w:t>
      </w:r>
    </w:p>
    <w:p w:rsidR="00B331B3" w:rsidRDefault="00B331B3" w:rsidP="00E4415C">
      <w:pPr>
        <w:spacing w:line="360" w:lineRule="auto"/>
        <w:ind w:right="-52"/>
        <w:rPr>
          <w:sz w:val="32"/>
          <w:szCs w:val="32"/>
        </w:rPr>
      </w:pPr>
    </w:p>
    <w:p w:rsidR="00B331B3" w:rsidRDefault="003F2D86">
      <w:pPr>
        <w:spacing w:line="360" w:lineRule="auto"/>
        <w:ind w:left="567" w:right="-52"/>
        <w:jc w:val="center"/>
        <w:rPr>
          <w:sz w:val="32"/>
          <w:szCs w:val="32"/>
        </w:rPr>
      </w:pPr>
      <w:r>
        <w:rPr>
          <w:sz w:val="32"/>
          <w:szCs w:val="32"/>
        </w:rPr>
        <w:t>Novemb</w:t>
      </w:r>
      <w:r w:rsidR="00A273BF">
        <w:rPr>
          <w:sz w:val="32"/>
          <w:szCs w:val="32"/>
        </w:rPr>
        <w:t xml:space="preserve">er </w:t>
      </w:r>
      <w:r w:rsidR="009F4F80">
        <w:rPr>
          <w:sz w:val="32"/>
          <w:szCs w:val="32"/>
        </w:rPr>
        <w:t>2014</w:t>
      </w:r>
    </w:p>
    <w:p w:rsidR="00B331B3" w:rsidRDefault="00B331B3">
      <w:pPr>
        <w:spacing w:line="360" w:lineRule="auto"/>
        <w:ind w:left="567" w:right="-52"/>
        <w:jc w:val="center"/>
        <w:rPr>
          <w:sz w:val="32"/>
          <w:szCs w:val="32"/>
        </w:rPr>
      </w:pPr>
      <w:r>
        <w:rPr>
          <w:sz w:val="32"/>
          <w:szCs w:val="32"/>
        </w:rPr>
        <w:br w:type="page"/>
      </w:r>
      <w:r>
        <w:rPr>
          <w:sz w:val="20"/>
          <w:szCs w:val="20"/>
        </w:rPr>
        <w:lastRenderedPageBreak/>
        <w:t>ii</w:t>
      </w:r>
    </w:p>
    <w:p w:rsidR="00B331B3" w:rsidRDefault="00B331B3">
      <w:pPr>
        <w:spacing w:line="360" w:lineRule="auto"/>
        <w:ind w:left="567" w:right="-52"/>
        <w:jc w:val="right"/>
      </w:pPr>
    </w:p>
    <w:p w:rsidR="00B331B3" w:rsidRDefault="00B331B3">
      <w:pPr>
        <w:ind w:left="567" w:right="-52"/>
        <w:jc w:val="center"/>
        <w:rPr>
          <w:b/>
          <w:bCs/>
        </w:rPr>
      </w:pPr>
      <w:r>
        <w:rPr>
          <w:b/>
          <w:bCs/>
        </w:rPr>
        <w:t>Deakin University</w:t>
      </w:r>
    </w:p>
    <w:p w:rsidR="00B331B3" w:rsidRDefault="00B331B3">
      <w:pPr>
        <w:ind w:left="567" w:right="-52"/>
        <w:jc w:val="center"/>
        <w:rPr>
          <w:b/>
          <w:bCs/>
        </w:rPr>
      </w:pPr>
    </w:p>
    <w:p w:rsidR="00B331B3" w:rsidRDefault="00B331B3">
      <w:pPr>
        <w:ind w:left="567" w:right="-52"/>
        <w:jc w:val="center"/>
        <w:rPr>
          <w:b/>
          <w:bCs/>
        </w:rPr>
      </w:pPr>
      <w:r>
        <w:rPr>
          <w:b/>
          <w:bCs/>
        </w:rPr>
        <w:t>School of Psychology</w:t>
      </w:r>
    </w:p>
    <w:p w:rsidR="00B331B3" w:rsidRDefault="00B331B3">
      <w:pPr>
        <w:ind w:left="567" w:right="-52"/>
        <w:jc w:val="center"/>
        <w:rPr>
          <w:b/>
          <w:bCs/>
        </w:rPr>
      </w:pPr>
    </w:p>
    <w:p w:rsidR="00B331B3" w:rsidRPr="009F4F80" w:rsidRDefault="00B331B3">
      <w:pPr>
        <w:ind w:left="567" w:right="-52"/>
        <w:jc w:val="center"/>
        <w:rPr>
          <w:b/>
          <w:bCs/>
          <w:sz w:val="22"/>
        </w:rPr>
      </w:pPr>
    </w:p>
    <w:p w:rsidR="00B331B3" w:rsidRDefault="00B331B3">
      <w:pPr>
        <w:ind w:left="567" w:right="-52"/>
        <w:jc w:val="center"/>
        <w:rPr>
          <w:b/>
          <w:bCs/>
        </w:rPr>
      </w:pPr>
    </w:p>
    <w:p w:rsidR="00B331B3" w:rsidRDefault="00B331B3">
      <w:pPr>
        <w:ind w:left="567" w:right="-52"/>
        <w:jc w:val="center"/>
        <w:rPr>
          <w:b/>
          <w:bCs/>
        </w:rPr>
      </w:pPr>
    </w:p>
    <w:p w:rsidR="00B331B3" w:rsidRDefault="00B331B3">
      <w:pPr>
        <w:ind w:left="567" w:right="-52"/>
        <w:jc w:val="center"/>
        <w:rPr>
          <w:b/>
          <w:bCs/>
        </w:rPr>
      </w:pPr>
    </w:p>
    <w:p w:rsidR="00B331B3" w:rsidRDefault="00B331B3">
      <w:pPr>
        <w:ind w:left="567" w:right="-52"/>
        <w:jc w:val="center"/>
        <w:rPr>
          <w:b/>
          <w:bCs/>
        </w:rPr>
      </w:pPr>
    </w:p>
    <w:p w:rsidR="00B331B3" w:rsidRDefault="00B331B3">
      <w:pPr>
        <w:ind w:left="567" w:right="-52"/>
        <w:jc w:val="center"/>
        <w:rPr>
          <w:b/>
          <w:bCs/>
        </w:rPr>
      </w:pPr>
    </w:p>
    <w:p w:rsidR="00B331B3" w:rsidRDefault="00B331B3">
      <w:pPr>
        <w:ind w:left="567" w:right="-52"/>
      </w:pPr>
      <w:r>
        <w:t>I am the author of the thesis</w:t>
      </w:r>
    </w:p>
    <w:p w:rsidR="00B331B3" w:rsidRDefault="00B331B3">
      <w:pPr>
        <w:ind w:left="567" w:right="-52"/>
      </w:pPr>
    </w:p>
    <w:p w:rsidR="00B331B3" w:rsidRDefault="00B331B3">
      <w:pPr>
        <w:ind w:left="567" w:right="-52"/>
      </w:pPr>
    </w:p>
    <w:p w:rsidR="00B331B3" w:rsidRDefault="00B331B3">
      <w:pPr>
        <w:ind w:left="567" w:right="-52"/>
      </w:pPr>
    </w:p>
    <w:p w:rsidR="00B331B3" w:rsidRDefault="00B331B3">
      <w:pPr>
        <w:ind w:left="567" w:right="-52"/>
      </w:pPr>
    </w:p>
    <w:p w:rsidR="00B331B3" w:rsidRPr="00724CB4" w:rsidRDefault="00B331B3">
      <w:pPr>
        <w:tabs>
          <w:tab w:val="left" w:pos="1985"/>
        </w:tabs>
        <w:ind w:left="567" w:right="-52"/>
      </w:pPr>
      <w:r w:rsidRPr="00724CB4">
        <w:t>entitled:</w:t>
      </w:r>
      <w:r w:rsidRPr="00724CB4">
        <w:tab/>
      </w:r>
      <w:r w:rsidR="00DC3704">
        <w:t>An Investigation of the Psychometric Properties of the Personal Wellbeing Index (PWI)</w:t>
      </w:r>
    </w:p>
    <w:p w:rsidR="00B331B3" w:rsidRPr="00724CB4" w:rsidRDefault="00B331B3">
      <w:pPr>
        <w:tabs>
          <w:tab w:val="left" w:pos="1985"/>
        </w:tabs>
        <w:ind w:left="567" w:right="-52"/>
      </w:pPr>
    </w:p>
    <w:p w:rsidR="00B331B3" w:rsidRPr="00724CB4" w:rsidRDefault="00B331B3">
      <w:pPr>
        <w:tabs>
          <w:tab w:val="left" w:pos="1985"/>
        </w:tabs>
        <w:ind w:left="567" w:right="-52"/>
      </w:pPr>
    </w:p>
    <w:p w:rsidR="00B331B3" w:rsidRPr="00724CB4" w:rsidRDefault="00B331B3">
      <w:pPr>
        <w:tabs>
          <w:tab w:val="left" w:pos="1985"/>
        </w:tabs>
        <w:ind w:left="567" w:right="-52"/>
      </w:pPr>
    </w:p>
    <w:p w:rsidR="00B331B3" w:rsidRPr="00724CB4" w:rsidRDefault="00B331B3">
      <w:pPr>
        <w:tabs>
          <w:tab w:val="left" w:pos="1985"/>
        </w:tabs>
        <w:ind w:left="567" w:right="-52"/>
      </w:pPr>
      <w:r w:rsidRPr="00724CB4">
        <w:t>submitted for the degree</w:t>
      </w:r>
    </w:p>
    <w:p w:rsidR="00B331B3" w:rsidRPr="00724CB4" w:rsidRDefault="00B331B3">
      <w:pPr>
        <w:tabs>
          <w:tab w:val="left" w:pos="1985"/>
        </w:tabs>
        <w:ind w:left="567" w:right="-52"/>
      </w:pPr>
    </w:p>
    <w:p w:rsidR="00B331B3" w:rsidRPr="00724CB4" w:rsidRDefault="00B331B3">
      <w:pPr>
        <w:tabs>
          <w:tab w:val="left" w:pos="1985"/>
        </w:tabs>
        <w:ind w:left="567" w:right="-52"/>
      </w:pPr>
    </w:p>
    <w:p w:rsidR="00B331B3" w:rsidRPr="00724CB4" w:rsidRDefault="00B331B3">
      <w:pPr>
        <w:tabs>
          <w:tab w:val="left" w:pos="1985"/>
        </w:tabs>
        <w:ind w:left="567" w:right="-52"/>
      </w:pPr>
    </w:p>
    <w:p w:rsidR="00B331B3" w:rsidRPr="00724CB4" w:rsidRDefault="00B331B3" w:rsidP="009F4F80">
      <w:pPr>
        <w:tabs>
          <w:tab w:val="left" w:pos="1985"/>
        </w:tabs>
        <w:ind w:left="1985" w:right="-52" w:hanging="1418"/>
      </w:pPr>
      <w:r w:rsidRPr="00724CB4">
        <w:t>of:</w:t>
      </w:r>
      <w:r w:rsidRPr="00724CB4">
        <w:tab/>
      </w:r>
      <w:r w:rsidR="00F95899">
        <w:rPr>
          <w:sz w:val="28"/>
          <w:szCs w:val="32"/>
        </w:rPr>
        <w:t>Bachelor of Psychology (Honours)</w:t>
      </w:r>
    </w:p>
    <w:p w:rsidR="00B331B3" w:rsidRDefault="00B331B3">
      <w:pPr>
        <w:tabs>
          <w:tab w:val="left" w:pos="1985"/>
        </w:tabs>
        <w:ind w:left="567" w:right="-52"/>
      </w:pPr>
    </w:p>
    <w:p w:rsidR="00B331B3" w:rsidRDefault="00B331B3">
      <w:pPr>
        <w:tabs>
          <w:tab w:val="left" w:pos="1985"/>
        </w:tabs>
        <w:ind w:left="567" w:right="-52"/>
      </w:pPr>
    </w:p>
    <w:p w:rsidR="00B331B3" w:rsidRDefault="00B331B3">
      <w:pPr>
        <w:tabs>
          <w:tab w:val="left" w:pos="1985"/>
        </w:tabs>
        <w:ind w:left="567" w:right="-52"/>
      </w:pPr>
    </w:p>
    <w:p w:rsidR="00B331B3" w:rsidRDefault="00B331B3">
      <w:pPr>
        <w:tabs>
          <w:tab w:val="left" w:pos="1985"/>
        </w:tabs>
        <w:ind w:left="567" w:right="-52"/>
      </w:pPr>
      <w:r>
        <w:t xml:space="preserve">and I agree to grant the </w:t>
      </w:r>
      <w:r w:rsidR="009F4F80">
        <w:t>Directors of Fourth Year in</w:t>
      </w:r>
      <w:r>
        <w:t xml:space="preserve"> the School of Psychology permission to make this thesis available for consultation, loan and limited copying in accordance with Copyright Act 1968.</w:t>
      </w:r>
    </w:p>
    <w:p w:rsidR="00B331B3" w:rsidRDefault="00B331B3">
      <w:pPr>
        <w:tabs>
          <w:tab w:val="left" w:pos="1985"/>
        </w:tabs>
        <w:ind w:left="567" w:right="-52"/>
      </w:pPr>
    </w:p>
    <w:p w:rsidR="00B331B3" w:rsidRDefault="00B331B3">
      <w:pPr>
        <w:tabs>
          <w:tab w:val="left" w:pos="1985"/>
        </w:tabs>
        <w:ind w:left="567" w:right="-52"/>
      </w:pPr>
    </w:p>
    <w:p w:rsidR="00B331B3" w:rsidRDefault="00B331B3">
      <w:pPr>
        <w:tabs>
          <w:tab w:val="left" w:pos="1985"/>
        </w:tabs>
        <w:ind w:left="567" w:right="-52"/>
      </w:pPr>
    </w:p>
    <w:p w:rsidR="00B331B3" w:rsidRDefault="00B331B3">
      <w:pPr>
        <w:tabs>
          <w:tab w:val="left" w:pos="1985"/>
        </w:tabs>
        <w:ind w:left="567" w:right="-52"/>
      </w:pPr>
    </w:p>
    <w:p w:rsidR="00B331B3" w:rsidRDefault="00B331B3">
      <w:pPr>
        <w:tabs>
          <w:tab w:val="left" w:pos="1985"/>
        </w:tabs>
        <w:ind w:left="567" w:right="-52"/>
      </w:pPr>
    </w:p>
    <w:p w:rsidR="00B331B3" w:rsidRDefault="00B331B3">
      <w:pPr>
        <w:tabs>
          <w:tab w:val="left" w:pos="1985"/>
        </w:tabs>
        <w:ind w:left="567" w:right="-52"/>
      </w:pPr>
    </w:p>
    <w:p w:rsidR="00B331B3" w:rsidRDefault="00B331B3">
      <w:pPr>
        <w:tabs>
          <w:tab w:val="left" w:pos="1985"/>
        </w:tabs>
        <w:ind w:left="567" w:right="-52"/>
      </w:pPr>
    </w:p>
    <w:p w:rsidR="004675E3" w:rsidRPr="009F4F80" w:rsidRDefault="004675E3" w:rsidP="00F95899">
      <w:pPr>
        <w:tabs>
          <w:tab w:val="left" w:pos="1985"/>
        </w:tabs>
        <w:ind w:right="-52"/>
      </w:pPr>
    </w:p>
    <w:p w:rsidR="00B331B3" w:rsidRDefault="00B331B3">
      <w:pPr>
        <w:tabs>
          <w:tab w:val="left" w:pos="5103"/>
          <w:tab w:val="left" w:pos="5387"/>
          <w:tab w:val="left" w:pos="8931"/>
        </w:tabs>
        <w:ind w:left="567" w:right="-52"/>
        <w:rPr>
          <w:u w:val="single"/>
        </w:rPr>
      </w:pPr>
      <w:r>
        <w:t xml:space="preserve">Signed: </w:t>
      </w:r>
      <w:r w:rsidR="00F95899">
        <w:rPr>
          <w:noProof/>
          <w:lang w:val="en-AU" w:eastAsia="en-AU"/>
        </w:rPr>
        <w:drawing>
          <wp:inline distT="0" distB="0" distL="0" distR="0">
            <wp:extent cx="1499616" cy="67360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002 (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99616" cy="673608"/>
                    </a:xfrm>
                    <a:prstGeom prst="rect">
                      <a:avLst/>
                    </a:prstGeom>
                  </pic:spPr>
                </pic:pic>
              </a:graphicData>
            </a:graphic>
          </wp:inline>
        </w:drawing>
      </w:r>
      <w:r>
        <w:tab/>
        <w:t xml:space="preserve">Date:  </w:t>
      </w:r>
      <w:r w:rsidR="00F95899" w:rsidRPr="00F95899">
        <w:rPr>
          <w:color w:val="FF0000"/>
        </w:rPr>
        <w:t>*insert date*</w:t>
      </w:r>
    </w:p>
    <w:p w:rsidR="00B331B3" w:rsidRDefault="00B331B3">
      <w:pPr>
        <w:tabs>
          <w:tab w:val="left" w:pos="5103"/>
          <w:tab w:val="left" w:pos="5387"/>
          <w:tab w:val="left" w:pos="8931"/>
        </w:tabs>
        <w:ind w:left="567" w:right="-52"/>
        <w:jc w:val="right"/>
        <w:rPr>
          <w:sz w:val="20"/>
          <w:szCs w:val="20"/>
        </w:rPr>
      </w:pPr>
      <w:r>
        <w:br w:type="page"/>
      </w:r>
      <w:r>
        <w:rPr>
          <w:sz w:val="20"/>
          <w:szCs w:val="20"/>
        </w:rPr>
        <w:lastRenderedPageBreak/>
        <w:t>iii</w:t>
      </w:r>
    </w:p>
    <w:p w:rsidR="00B331B3" w:rsidRDefault="00B331B3">
      <w:pPr>
        <w:spacing w:line="360" w:lineRule="auto"/>
        <w:ind w:left="567" w:right="-52"/>
        <w:jc w:val="right"/>
      </w:pPr>
    </w:p>
    <w:p w:rsidR="00B331B3" w:rsidRDefault="00B331B3">
      <w:pPr>
        <w:ind w:left="567" w:right="-52"/>
        <w:jc w:val="center"/>
        <w:rPr>
          <w:b/>
          <w:bCs/>
        </w:rPr>
      </w:pPr>
      <w:r>
        <w:rPr>
          <w:b/>
          <w:bCs/>
        </w:rPr>
        <w:t>Deakin University</w:t>
      </w:r>
    </w:p>
    <w:p w:rsidR="00B331B3" w:rsidRDefault="00B331B3">
      <w:pPr>
        <w:ind w:left="567" w:right="-52"/>
        <w:jc w:val="center"/>
        <w:rPr>
          <w:b/>
          <w:bCs/>
        </w:rPr>
      </w:pPr>
    </w:p>
    <w:p w:rsidR="00B331B3" w:rsidRDefault="00B331B3">
      <w:pPr>
        <w:ind w:left="567" w:right="-52"/>
        <w:jc w:val="center"/>
        <w:rPr>
          <w:b/>
          <w:bCs/>
        </w:rPr>
      </w:pPr>
      <w:r>
        <w:rPr>
          <w:b/>
          <w:bCs/>
        </w:rPr>
        <w:t>School of Psychology</w:t>
      </w:r>
    </w:p>
    <w:p w:rsidR="00B331B3" w:rsidRDefault="00B331B3">
      <w:pPr>
        <w:ind w:left="567" w:right="-52"/>
        <w:jc w:val="center"/>
        <w:rPr>
          <w:b/>
          <w:bCs/>
        </w:rPr>
      </w:pPr>
    </w:p>
    <w:p w:rsidR="00B331B3" w:rsidRDefault="00B331B3">
      <w:pPr>
        <w:ind w:left="567" w:right="-52"/>
        <w:jc w:val="center"/>
        <w:rPr>
          <w:b/>
          <w:bCs/>
        </w:rPr>
      </w:pPr>
      <w:r>
        <w:rPr>
          <w:b/>
          <w:bCs/>
        </w:rPr>
        <w:t>Ethics Summary Statement</w:t>
      </w:r>
    </w:p>
    <w:p w:rsidR="00B331B3" w:rsidRDefault="00B331B3">
      <w:pPr>
        <w:ind w:left="567" w:right="-52"/>
        <w:jc w:val="center"/>
        <w:rPr>
          <w:b/>
          <w:bCs/>
        </w:rPr>
      </w:pPr>
    </w:p>
    <w:p w:rsidR="00B331B3" w:rsidRDefault="00B331B3">
      <w:pPr>
        <w:ind w:left="567" w:right="-52"/>
        <w:jc w:val="center"/>
        <w:rPr>
          <w:b/>
          <w:bCs/>
        </w:rPr>
      </w:pPr>
    </w:p>
    <w:p w:rsidR="00B331B3" w:rsidRDefault="00B331B3">
      <w:pPr>
        <w:ind w:left="567" w:right="-52"/>
        <w:jc w:val="center"/>
        <w:rPr>
          <w:b/>
          <w:bCs/>
        </w:rPr>
      </w:pPr>
    </w:p>
    <w:p w:rsidR="00B331B3" w:rsidRDefault="00B331B3">
      <w:pPr>
        <w:ind w:left="567" w:right="-52"/>
        <w:jc w:val="center"/>
        <w:rPr>
          <w:b/>
          <w:bCs/>
        </w:rPr>
      </w:pPr>
    </w:p>
    <w:p w:rsidR="00B331B3" w:rsidRDefault="00B331B3">
      <w:pPr>
        <w:ind w:left="567" w:right="-52"/>
        <w:jc w:val="center"/>
        <w:rPr>
          <w:b/>
          <w:bCs/>
        </w:rPr>
      </w:pPr>
    </w:p>
    <w:p w:rsidR="00B331B3" w:rsidRDefault="00B331B3">
      <w:pPr>
        <w:ind w:left="567" w:right="-52"/>
        <w:jc w:val="center"/>
        <w:rPr>
          <w:b/>
          <w:bCs/>
        </w:rPr>
      </w:pPr>
    </w:p>
    <w:p w:rsidR="00B331B3" w:rsidRDefault="00B331B3">
      <w:pPr>
        <w:tabs>
          <w:tab w:val="left" w:pos="2835"/>
        </w:tabs>
        <w:ind w:left="567" w:right="-52"/>
      </w:pPr>
      <w:r>
        <w:t>Project Number:</w:t>
      </w:r>
      <w:r>
        <w:tab/>
        <w:t>DUHREC-H</w:t>
      </w:r>
      <w:r w:rsidR="00F95899">
        <w:t xml:space="preserve"> 64_2014</w:t>
      </w:r>
      <w:r>
        <w:t>/</w:t>
      </w:r>
      <w:r w:rsidR="00A273BF">
        <w:t>10</w:t>
      </w:r>
    </w:p>
    <w:p w:rsidR="00B331B3" w:rsidRDefault="00B331B3">
      <w:pPr>
        <w:ind w:left="567" w:right="-52"/>
      </w:pPr>
    </w:p>
    <w:p w:rsidR="00B331B3" w:rsidRDefault="00B331B3">
      <w:pPr>
        <w:ind w:left="567" w:right="-52"/>
      </w:pPr>
    </w:p>
    <w:p w:rsidR="00B331B3" w:rsidRDefault="00B331B3">
      <w:pPr>
        <w:ind w:left="567" w:right="-52"/>
      </w:pPr>
    </w:p>
    <w:p w:rsidR="00B331B3" w:rsidRDefault="00B331B3">
      <w:pPr>
        <w:tabs>
          <w:tab w:val="left" w:pos="2835"/>
        </w:tabs>
        <w:ind w:left="567" w:right="-52"/>
        <w:jc w:val="both"/>
      </w:pPr>
      <w:r>
        <w:t>Project Title:</w:t>
      </w:r>
      <w:r>
        <w:tab/>
      </w:r>
      <w:r w:rsidR="00F95899">
        <w:rPr>
          <w:b/>
          <w:bCs/>
        </w:rPr>
        <w:t>An Investigation of the Psychometric Properties of the Personal Wellbeing Index (PWI)</w:t>
      </w:r>
    </w:p>
    <w:p w:rsidR="00B331B3" w:rsidRDefault="00B331B3">
      <w:pPr>
        <w:tabs>
          <w:tab w:val="left" w:pos="1985"/>
        </w:tabs>
        <w:ind w:left="567" w:right="-52"/>
      </w:pPr>
    </w:p>
    <w:p w:rsidR="00B331B3" w:rsidRDefault="00B331B3">
      <w:pPr>
        <w:tabs>
          <w:tab w:val="left" w:pos="1985"/>
        </w:tabs>
        <w:ind w:left="567" w:right="-52"/>
      </w:pPr>
    </w:p>
    <w:p w:rsidR="00B331B3" w:rsidRDefault="00B331B3">
      <w:pPr>
        <w:tabs>
          <w:tab w:val="left" w:pos="1985"/>
        </w:tabs>
        <w:ind w:left="567" w:right="-52"/>
      </w:pPr>
    </w:p>
    <w:p w:rsidR="00B331B3" w:rsidRDefault="00B331B3">
      <w:pPr>
        <w:tabs>
          <w:tab w:val="left" w:pos="1985"/>
        </w:tabs>
        <w:ind w:left="567" w:right="-52"/>
      </w:pPr>
    </w:p>
    <w:p w:rsidR="00B331B3" w:rsidRDefault="00B331B3">
      <w:pPr>
        <w:tabs>
          <w:tab w:val="left" w:pos="1985"/>
        </w:tabs>
        <w:ind w:left="567" w:right="-52"/>
      </w:pPr>
    </w:p>
    <w:p w:rsidR="00B331B3" w:rsidRDefault="00B331B3">
      <w:pPr>
        <w:tabs>
          <w:tab w:val="left" w:pos="1985"/>
        </w:tabs>
        <w:spacing w:line="480" w:lineRule="auto"/>
        <w:ind w:left="567" w:right="-52"/>
        <w:jc w:val="both"/>
      </w:pPr>
      <w:r>
        <w:t>We the undersigned declare that the above-named research project has been completed as described in the Application for Ethics Approval and in accordance with the ethics guidelines of Deakin University.</w:t>
      </w:r>
    </w:p>
    <w:p w:rsidR="00B331B3" w:rsidRDefault="00B331B3">
      <w:pPr>
        <w:tabs>
          <w:tab w:val="left" w:pos="1985"/>
        </w:tabs>
        <w:ind w:left="567" w:right="-52"/>
      </w:pPr>
    </w:p>
    <w:p w:rsidR="00A273BF" w:rsidRPr="00A273BF" w:rsidRDefault="009F4F80" w:rsidP="00A273BF">
      <w:pPr>
        <w:tabs>
          <w:tab w:val="left" w:pos="1985"/>
        </w:tabs>
        <w:ind w:left="567" w:right="-52"/>
        <w:rPr>
          <w:color w:val="FF0000"/>
        </w:rPr>
      </w:pPr>
      <w:r>
        <w:rPr>
          <w:color w:val="FF0000"/>
          <w:highlight w:val="yellow"/>
        </w:rPr>
        <w:t>[</w:t>
      </w:r>
      <w:r w:rsidR="00A273BF" w:rsidRPr="00A273BF">
        <w:rPr>
          <w:color w:val="FF0000"/>
          <w:highlight w:val="yellow"/>
        </w:rPr>
        <w:t>Electronic signature</w:t>
      </w:r>
      <w:r w:rsidR="00A273BF" w:rsidRPr="004675E3">
        <w:rPr>
          <w:color w:val="FF0000"/>
          <w:highlight w:val="yellow"/>
        </w:rPr>
        <w:t>s</w:t>
      </w:r>
      <w:r w:rsidR="004675E3" w:rsidRPr="004675E3">
        <w:rPr>
          <w:color w:val="FF0000"/>
          <w:highlight w:val="yellow"/>
        </w:rPr>
        <w:t xml:space="preserve"> here or print out</w:t>
      </w:r>
      <w:r w:rsidR="004675E3">
        <w:rPr>
          <w:color w:val="FF0000"/>
          <w:highlight w:val="yellow"/>
        </w:rPr>
        <w:t>, sign</w:t>
      </w:r>
      <w:r w:rsidR="004675E3" w:rsidRPr="004675E3">
        <w:rPr>
          <w:color w:val="FF0000"/>
          <w:highlight w:val="yellow"/>
        </w:rPr>
        <w:t xml:space="preserve"> and scan in</w:t>
      </w:r>
      <w:r>
        <w:rPr>
          <w:color w:val="FF0000"/>
        </w:rPr>
        <w:t>]</w:t>
      </w:r>
    </w:p>
    <w:p w:rsidR="00B331B3" w:rsidRDefault="00B331B3">
      <w:pPr>
        <w:tabs>
          <w:tab w:val="left" w:pos="1985"/>
        </w:tabs>
        <w:ind w:left="567" w:right="-52"/>
      </w:pPr>
    </w:p>
    <w:p w:rsidR="00B331B3" w:rsidRDefault="00B331B3">
      <w:pPr>
        <w:tabs>
          <w:tab w:val="left" w:pos="1985"/>
        </w:tabs>
        <w:ind w:left="567" w:right="-52"/>
      </w:pPr>
    </w:p>
    <w:p w:rsidR="00B331B3" w:rsidRPr="009F4F80" w:rsidRDefault="00B331B3">
      <w:pPr>
        <w:tabs>
          <w:tab w:val="left" w:pos="2835"/>
        </w:tabs>
        <w:ind w:left="567" w:right="-52"/>
      </w:pPr>
      <w:r>
        <w:t>Researcher’s Name:</w:t>
      </w:r>
      <w:r>
        <w:tab/>
      </w:r>
      <w:r w:rsidR="00F95899">
        <w:t>Nikki Cameron</w:t>
      </w:r>
    </w:p>
    <w:p w:rsidR="00B331B3" w:rsidRDefault="00B331B3">
      <w:pPr>
        <w:tabs>
          <w:tab w:val="left" w:pos="1985"/>
        </w:tabs>
        <w:ind w:left="567" w:right="-52"/>
      </w:pPr>
    </w:p>
    <w:p w:rsidR="00B331B3" w:rsidRDefault="00B331B3" w:rsidP="00C446EB">
      <w:pPr>
        <w:tabs>
          <w:tab w:val="left" w:pos="5103"/>
          <w:tab w:val="left" w:pos="5387"/>
          <w:tab w:val="left" w:pos="8931"/>
        </w:tabs>
        <w:ind w:right="-52"/>
      </w:pPr>
    </w:p>
    <w:p w:rsidR="00B331B3" w:rsidRDefault="00B331B3">
      <w:pPr>
        <w:tabs>
          <w:tab w:val="left" w:pos="5103"/>
          <w:tab w:val="left" w:pos="5387"/>
          <w:tab w:val="left" w:pos="8931"/>
        </w:tabs>
        <w:ind w:left="567" w:right="-52"/>
        <w:rPr>
          <w:u w:val="single"/>
        </w:rPr>
      </w:pPr>
      <w:r>
        <w:t xml:space="preserve">Signed: </w:t>
      </w:r>
      <w:r w:rsidR="000A66D4">
        <w:rPr>
          <w:noProof/>
          <w:lang w:val="en-AU" w:eastAsia="en-AU"/>
        </w:rPr>
        <w:drawing>
          <wp:inline distT="0" distB="0" distL="0" distR="0">
            <wp:extent cx="1499616" cy="673608"/>
            <wp:effectExtent l="0" t="0" r="5715"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img002 (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99616" cy="673608"/>
                    </a:xfrm>
                    <a:prstGeom prst="rect">
                      <a:avLst/>
                    </a:prstGeom>
                  </pic:spPr>
                </pic:pic>
              </a:graphicData>
            </a:graphic>
          </wp:inline>
        </w:drawing>
      </w:r>
      <w:r>
        <w:tab/>
        <w:t xml:space="preserve">Date:  </w:t>
      </w:r>
    </w:p>
    <w:p w:rsidR="00B331B3" w:rsidRDefault="00B331B3">
      <w:pPr>
        <w:tabs>
          <w:tab w:val="left" w:pos="5103"/>
          <w:tab w:val="left" w:pos="5387"/>
          <w:tab w:val="left" w:pos="8931"/>
        </w:tabs>
        <w:ind w:left="567" w:right="-52"/>
      </w:pPr>
    </w:p>
    <w:p w:rsidR="00B331B3" w:rsidRDefault="00B331B3">
      <w:pPr>
        <w:tabs>
          <w:tab w:val="left" w:pos="5103"/>
          <w:tab w:val="left" w:pos="5387"/>
          <w:tab w:val="left" w:pos="8931"/>
        </w:tabs>
        <w:ind w:left="567" w:right="-52"/>
      </w:pPr>
    </w:p>
    <w:p w:rsidR="00B331B3" w:rsidRDefault="00B331B3">
      <w:pPr>
        <w:tabs>
          <w:tab w:val="left" w:pos="5103"/>
          <w:tab w:val="left" w:pos="5387"/>
          <w:tab w:val="left" w:pos="8931"/>
        </w:tabs>
        <w:ind w:left="567" w:right="-52"/>
      </w:pPr>
    </w:p>
    <w:p w:rsidR="00B331B3" w:rsidRDefault="00B331B3">
      <w:pPr>
        <w:tabs>
          <w:tab w:val="left" w:pos="5103"/>
          <w:tab w:val="left" w:pos="5387"/>
          <w:tab w:val="left" w:pos="8931"/>
        </w:tabs>
        <w:ind w:left="567" w:right="-52"/>
      </w:pPr>
    </w:p>
    <w:p w:rsidR="00B331B3" w:rsidRPr="009F4F80" w:rsidRDefault="00B331B3">
      <w:pPr>
        <w:tabs>
          <w:tab w:val="left" w:pos="2835"/>
        </w:tabs>
        <w:ind w:left="567" w:right="-52"/>
      </w:pPr>
      <w:r>
        <w:t>Supervisor’s Name:</w:t>
      </w:r>
      <w:r>
        <w:tab/>
      </w:r>
      <w:r w:rsidR="00F95899">
        <w:t>Melissa Weinberg</w:t>
      </w:r>
    </w:p>
    <w:p w:rsidR="00B331B3" w:rsidRDefault="00B331B3">
      <w:pPr>
        <w:tabs>
          <w:tab w:val="left" w:pos="1985"/>
        </w:tabs>
        <w:ind w:left="567" w:right="-52"/>
      </w:pPr>
    </w:p>
    <w:p w:rsidR="00B331B3" w:rsidRDefault="00B331B3">
      <w:pPr>
        <w:tabs>
          <w:tab w:val="left" w:pos="1985"/>
        </w:tabs>
        <w:ind w:left="567" w:right="-52"/>
      </w:pPr>
    </w:p>
    <w:p w:rsidR="00B331B3" w:rsidRDefault="00B331B3">
      <w:pPr>
        <w:tabs>
          <w:tab w:val="left" w:pos="5103"/>
          <w:tab w:val="left" w:pos="5387"/>
          <w:tab w:val="left" w:pos="8931"/>
        </w:tabs>
        <w:ind w:left="567" w:right="-52"/>
      </w:pPr>
      <w:r>
        <w:t xml:space="preserve">Signed: </w:t>
      </w:r>
      <w:r>
        <w:rPr>
          <w:u w:val="single"/>
        </w:rPr>
        <w:tab/>
      </w:r>
      <w:r>
        <w:t xml:space="preserve"> </w:t>
      </w:r>
      <w:r>
        <w:tab/>
        <w:t xml:space="preserve">Date:  </w:t>
      </w:r>
    </w:p>
    <w:p w:rsidR="009F4F80" w:rsidRDefault="009F4F80">
      <w:pPr>
        <w:tabs>
          <w:tab w:val="left" w:pos="5103"/>
          <w:tab w:val="left" w:pos="5387"/>
          <w:tab w:val="left" w:pos="8931"/>
        </w:tabs>
        <w:ind w:left="567" w:right="-52"/>
        <w:rPr>
          <w:u w:val="single"/>
        </w:rPr>
      </w:pPr>
    </w:p>
    <w:p w:rsidR="00B331B3" w:rsidRDefault="00B331B3">
      <w:pPr>
        <w:tabs>
          <w:tab w:val="left" w:pos="5103"/>
          <w:tab w:val="left" w:pos="5387"/>
          <w:tab w:val="left" w:pos="8931"/>
        </w:tabs>
        <w:ind w:left="567" w:right="-52"/>
        <w:jc w:val="right"/>
        <w:rPr>
          <w:sz w:val="32"/>
          <w:szCs w:val="32"/>
        </w:rPr>
      </w:pPr>
      <w:r>
        <w:rPr>
          <w:u w:val="single"/>
        </w:rPr>
        <w:br w:type="page"/>
      </w:r>
      <w:r>
        <w:rPr>
          <w:sz w:val="20"/>
          <w:szCs w:val="20"/>
        </w:rPr>
        <w:t>iv</w:t>
      </w:r>
    </w:p>
    <w:p w:rsidR="00B331B3" w:rsidRDefault="00B331B3">
      <w:pPr>
        <w:spacing w:line="360" w:lineRule="auto"/>
        <w:ind w:left="567" w:right="-52"/>
        <w:jc w:val="right"/>
        <w:rPr>
          <w:sz w:val="32"/>
          <w:szCs w:val="32"/>
        </w:rPr>
      </w:pPr>
    </w:p>
    <w:p w:rsidR="00B331B3" w:rsidRDefault="00B331B3">
      <w:pPr>
        <w:ind w:left="567" w:right="-52"/>
        <w:jc w:val="center"/>
        <w:rPr>
          <w:b/>
          <w:bCs/>
        </w:rPr>
      </w:pPr>
      <w:r>
        <w:rPr>
          <w:b/>
          <w:bCs/>
        </w:rPr>
        <w:t>ACKNOWLEDGEMENTS</w:t>
      </w:r>
    </w:p>
    <w:p w:rsidR="00B331B3" w:rsidRDefault="00B331B3">
      <w:pPr>
        <w:ind w:left="567" w:right="-52"/>
        <w:jc w:val="center"/>
        <w:rPr>
          <w:b/>
          <w:bCs/>
        </w:rPr>
      </w:pPr>
    </w:p>
    <w:p w:rsidR="00B331B3" w:rsidRDefault="00B331B3" w:rsidP="001562EF">
      <w:pPr>
        <w:tabs>
          <w:tab w:val="left" w:pos="5103"/>
          <w:tab w:val="left" w:pos="5387"/>
          <w:tab w:val="left" w:pos="8931"/>
        </w:tabs>
        <w:spacing w:line="360" w:lineRule="auto"/>
        <w:ind w:left="567" w:right="-52"/>
      </w:pPr>
    </w:p>
    <w:p w:rsidR="00B331B3" w:rsidRDefault="00B331B3" w:rsidP="001562EF">
      <w:pPr>
        <w:tabs>
          <w:tab w:val="left" w:pos="5103"/>
          <w:tab w:val="left" w:pos="5387"/>
          <w:tab w:val="left" w:pos="8931"/>
        </w:tabs>
        <w:spacing w:line="360" w:lineRule="auto"/>
        <w:ind w:left="567" w:right="-52"/>
      </w:pPr>
    </w:p>
    <w:p w:rsidR="00B331B3" w:rsidRDefault="00B331B3" w:rsidP="001562EF">
      <w:pPr>
        <w:tabs>
          <w:tab w:val="left" w:pos="5103"/>
          <w:tab w:val="left" w:pos="5387"/>
          <w:tab w:val="left" w:pos="8931"/>
        </w:tabs>
        <w:spacing w:line="360" w:lineRule="auto"/>
        <w:ind w:left="567" w:right="-52"/>
      </w:pPr>
      <w:r>
        <w:t>A statement of acknowledgement to any people and/or organisations who have assisted you during the year.</w:t>
      </w:r>
    </w:p>
    <w:p w:rsidR="00261954" w:rsidRDefault="00261954">
      <w:pPr>
        <w:autoSpaceDE/>
        <w:autoSpaceDN/>
        <w:spacing w:after="200" w:line="276" w:lineRule="auto"/>
        <w:rPr>
          <w:color w:val="FF0000"/>
        </w:rPr>
      </w:pPr>
      <w:r>
        <w:rPr>
          <w:color w:val="FF0000"/>
        </w:rPr>
        <w:br w:type="page"/>
      </w:r>
    </w:p>
    <w:p w:rsidR="00B331B3" w:rsidRDefault="00B331B3" w:rsidP="00AA1566">
      <w:pPr>
        <w:spacing w:line="360" w:lineRule="auto"/>
        <w:ind w:left="567" w:right="-52"/>
        <w:jc w:val="center"/>
        <w:rPr>
          <w:sz w:val="32"/>
          <w:szCs w:val="32"/>
        </w:rPr>
      </w:pPr>
      <w:r>
        <w:rPr>
          <w:sz w:val="20"/>
          <w:szCs w:val="20"/>
        </w:rPr>
        <w:t>v</w:t>
      </w:r>
    </w:p>
    <w:p w:rsidR="00B331B3" w:rsidRDefault="00B331B3">
      <w:pPr>
        <w:spacing w:line="360" w:lineRule="auto"/>
        <w:ind w:left="567" w:right="-52"/>
        <w:jc w:val="center"/>
        <w:rPr>
          <w:b/>
          <w:bCs/>
          <w:sz w:val="22"/>
          <w:szCs w:val="22"/>
        </w:rPr>
      </w:pPr>
      <w:r>
        <w:rPr>
          <w:b/>
          <w:bCs/>
          <w:sz w:val="22"/>
          <w:szCs w:val="22"/>
        </w:rPr>
        <w:t>TABLE OF CONTENTS</w:t>
      </w:r>
    </w:p>
    <w:p w:rsidR="00CE7F55" w:rsidRDefault="00CE7F55" w:rsidP="00CE7F55">
      <w:pPr>
        <w:tabs>
          <w:tab w:val="left" w:pos="1134"/>
          <w:tab w:val="right" w:pos="8505"/>
        </w:tabs>
        <w:spacing w:line="360" w:lineRule="auto"/>
        <w:ind w:left="567" w:right="89"/>
        <w:rPr>
          <w:sz w:val="22"/>
          <w:szCs w:val="22"/>
        </w:rPr>
      </w:pPr>
      <w:r>
        <w:rPr>
          <w:sz w:val="22"/>
          <w:szCs w:val="22"/>
        </w:rPr>
        <w:t>Chapter 1 Literature Review</w:t>
      </w:r>
      <w:r>
        <w:rPr>
          <w:sz w:val="22"/>
          <w:szCs w:val="22"/>
        </w:rPr>
        <w:tab/>
        <w:t>1</w:t>
      </w:r>
    </w:p>
    <w:p w:rsidR="00CE7F55" w:rsidRDefault="00CE7F55" w:rsidP="00CE7F55">
      <w:pPr>
        <w:tabs>
          <w:tab w:val="left" w:pos="1134"/>
          <w:tab w:val="right" w:pos="8505"/>
        </w:tabs>
        <w:spacing w:line="360" w:lineRule="auto"/>
        <w:ind w:left="567" w:right="89"/>
        <w:rPr>
          <w:sz w:val="22"/>
          <w:szCs w:val="22"/>
        </w:rPr>
      </w:pPr>
      <w:r>
        <w:rPr>
          <w:sz w:val="22"/>
          <w:szCs w:val="22"/>
        </w:rPr>
        <w:tab/>
        <w:t xml:space="preserve">1.1 Abstract </w:t>
      </w:r>
      <w:r>
        <w:rPr>
          <w:sz w:val="22"/>
          <w:szCs w:val="22"/>
        </w:rPr>
        <w:tab/>
        <w:t>2</w:t>
      </w:r>
    </w:p>
    <w:p w:rsidR="00CE7F55" w:rsidRDefault="00CE7F55" w:rsidP="00CE7F55">
      <w:pPr>
        <w:tabs>
          <w:tab w:val="left" w:pos="1134"/>
          <w:tab w:val="right" w:pos="8505"/>
        </w:tabs>
        <w:spacing w:line="360" w:lineRule="auto"/>
        <w:ind w:left="567" w:right="89"/>
        <w:rPr>
          <w:sz w:val="22"/>
          <w:szCs w:val="22"/>
        </w:rPr>
      </w:pPr>
      <w:r>
        <w:rPr>
          <w:sz w:val="22"/>
          <w:szCs w:val="22"/>
        </w:rPr>
        <w:tab/>
        <w:t>1.2 Subjective Wellbeing (SWB)</w:t>
      </w:r>
      <w:r>
        <w:rPr>
          <w:sz w:val="22"/>
          <w:szCs w:val="22"/>
        </w:rPr>
        <w:tab/>
      </w:r>
    </w:p>
    <w:p w:rsidR="00CE7F55" w:rsidRDefault="00CE7F55" w:rsidP="00CE7F55">
      <w:pPr>
        <w:tabs>
          <w:tab w:val="left" w:pos="1134"/>
          <w:tab w:val="left" w:pos="1843"/>
          <w:tab w:val="right" w:pos="8505"/>
        </w:tabs>
        <w:spacing w:line="360" w:lineRule="auto"/>
        <w:ind w:left="567" w:right="89"/>
        <w:rPr>
          <w:sz w:val="22"/>
          <w:szCs w:val="22"/>
        </w:rPr>
      </w:pPr>
      <w:r>
        <w:rPr>
          <w:sz w:val="22"/>
          <w:szCs w:val="22"/>
        </w:rPr>
        <w:tab/>
      </w:r>
      <w:r>
        <w:rPr>
          <w:sz w:val="22"/>
          <w:szCs w:val="22"/>
        </w:rPr>
        <w:tab/>
        <w:t>1.2.1 Composition of SWB</w:t>
      </w:r>
      <w:r>
        <w:rPr>
          <w:sz w:val="22"/>
          <w:szCs w:val="22"/>
        </w:rPr>
        <w:tab/>
      </w:r>
    </w:p>
    <w:p w:rsidR="00CE7F55" w:rsidRDefault="00CE7F55" w:rsidP="00CE7F55">
      <w:pPr>
        <w:tabs>
          <w:tab w:val="left" w:pos="1134"/>
          <w:tab w:val="left" w:pos="1843"/>
          <w:tab w:val="right" w:pos="8505"/>
        </w:tabs>
        <w:spacing w:line="360" w:lineRule="auto"/>
        <w:ind w:left="567" w:right="89"/>
        <w:rPr>
          <w:sz w:val="22"/>
          <w:szCs w:val="22"/>
        </w:rPr>
      </w:pPr>
      <w:r>
        <w:rPr>
          <w:sz w:val="22"/>
          <w:szCs w:val="22"/>
        </w:rPr>
        <w:tab/>
      </w:r>
      <w:r>
        <w:rPr>
          <w:sz w:val="22"/>
          <w:szCs w:val="22"/>
        </w:rPr>
        <w:tab/>
        <w:t>1.2.2 Elements of SWB</w:t>
      </w:r>
    </w:p>
    <w:p w:rsidR="00CE7F55" w:rsidRDefault="00CE7F55" w:rsidP="00CE7F55">
      <w:pPr>
        <w:tabs>
          <w:tab w:val="left" w:pos="1134"/>
          <w:tab w:val="left" w:pos="1843"/>
          <w:tab w:val="right" w:pos="8505"/>
        </w:tabs>
        <w:spacing w:line="360" w:lineRule="auto"/>
        <w:ind w:left="567" w:right="89"/>
        <w:rPr>
          <w:sz w:val="22"/>
          <w:szCs w:val="22"/>
        </w:rPr>
      </w:pPr>
      <w:r>
        <w:rPr>
          <w:sz w:val="22"/>
          <w:szCs w:val="22"/>
        </w:rPr>
        <w:tab/>
      </w:r>
      <w:r>
        <w:rPr>
          <w:sz w:val="22"/>
          <w:szCs w:val="22"/>
        </w:rPr>
        <w:tab/>
        <w:t>1.2.3 Homeostatically Protected Mood (HPMood)</w:t>
      </w:r>
    </w:p>
    <w:p w:rsidR="00CE7F55" w:rsidRDefault="00CE7F55" w:rsidP="00CE7F55">
      <w:pPr>
        <w:tabs>
          <w:tab w:val="left" w:pos="1134"/>
          <w:tab w:val="left" w:pos="1843"/>
          <w:tab w:val="right" w:pos="8505"/>
        </w:tabs>
        <w:spacing w:line="360" w:lineRule="auto"/>
        <w:ind w:left="567" w:right="89"/>
        <w:rPr>
          <w:sz w:val="22"/>
          <w:szCs w:val="22"/>
        </w:rPr>
      </w:pPr>
      <w:r>
        <w:rPr>
          <w:sz w:val="22"/>
          <w:szCs w:val="22"/>
        </w:rPr>
        <w:tab/>
        <w:t>1.3 Measuring SWB</w:t>
      </w:r>
    </w:p>
    <w:p w:rsidR="00CE7F55" w:rsidRDefault="00CE7F55" w:rsidP="00CE7F55">
      <w:pPr>
        <w:tabs>
          <w:tab w:val="left" w:pos="1134"/>
          <w:tab w:val="left" w:pos="1843"/>
          <w:tab w:val="right" w:pos="8505"/>
        </w:tabs>
        <w:spacing w:line="360" w:lineRule="auto"/>
        <w:ind w:left="567" w:right="89"/>
        <w:rPr>
          <w:sz w:val="22"/>
          <w:szCs w:val="22"/>
        </w:rPr>
      </w:pPr>
      <w:r>
        <w:rPr>
          <w:sz w:val="22"/>
          <w:szCs w:val="22"/>
        </w:rPr>
        <w:tab/>
      </w:r>
      <w:r>
        <w:rPr>
          <w:sz w:val="22"/>
          <w:szCs w:val="22"/>
        </w:rPr>
        <w:tab/>
        <w:t>1.3.1 Satisfaction with Life Scale (SWLS)</w:t>
      </w:r>
    </w:p>
    <w:p w:rsidR="00CE7F55" w:rsidRDefault="00CE7F55" w:rsidP="00CE7F55">
      <w:pPr>
        <w:tabs>
          <w:tab w:val="left" w:pos="1134"/>
          <w:tab w:val="left" w:pos="1843"/>
          <w:tab w:val="right" w:pos="8505"/>
        </w:tabs>
        <w:spacing w:line="360" w:lineRule="auto"/>
        <w:ind w:left="567" w:right="89"/>
        <w:rPr>
          <w:sz w:val="22"/>
          <w:szCs w:val="22"/>
        </w:rPr>
      </w:pPr>
      <w:r>
        <w:rPr>
          <w:sz w:val="22"/>
          <w:szCs w:val="22"/>
        </w:rPr>
        <w:tab/>
      </w:r>
      <w:r>
        <w:rPr>
          <w:sz w:val="22"/>
          <w:szCs w:val="22"/>
        </w:rPr>
        <w:tab/>
        <w:t>1.3.2 Personal Wellbeing Index (PWI)</w:t>
      </w:r>
    </w:p>
    <w:p w:rsidR="00CE7F55" w:rsidRDefault="00CE7F55" w:rsidP="00CE7F55">
      <w:pPr>
        <w:tabs>
          <w:tab w:val="left" w:pos="1134"/>
          <w:tab w:val="left" w:pos="1843"/>
          <w:tab w:val="right" w:pos="8505"/>
        </w:tabs>
        <w:spacing w:line="360" w:lineRule="auto"/>
        <w:ind w:left="567" w:right="89"/>
        <w:rPr>
          <w:sz w:val="22"/>
          <w:szCs w:val="22"/>
        </w:rPr>
      </w:pPr>
      <w:r>
        <w:rPr>
          <w:sz w:val="22"/>
          <w:szCs w:val="22"/>
        </w:rPr>
        <w:tab/>
        <w:t>1.4 Methodological Issues in Questionnaires</w:t>
      </w:r>
    </w:p>
    <w:p w:rsidR="00CE7F55" w:rsidRDefault="00CE7F55" w:rsidP="00CE7F55">
      <w:pPr>
        <w:tabs>
          <w:tab w:val="left" w:pos="1134"/>
          <w:tab w:val="left" w:pos="1843"/>
          <w:tab w:val="right" w:pos="8505"/>
        </w:tabs>
        <w:spacing w:line="360" w:lineRule="auto"/>
        <w:ind w:left="567" w:right="89"/>
        <w:rPr>
          <w:sz w:val="22"/>
          <w:szCs w:val="22"/>
        </w:rPr>
      </w:pPr>
      <w:r>
        <w:rPr>
          <w:sz w:val="22"/>
          <w:szCs w:val="22"/>
        </w:rPr>
        <w:tab/>
      </w:r>
      <w:r>
        <w:rPr>
          <w:sz w:val="22"/>
          <w:szCs w:val="22"/>
        </w:rPr>
        <w:tab/>
        <w:t>1.4.1 Response Format</w:t>
      </w:r>
    </w:p>
    <w:p w:rsidR="00CE7F55" w:rsidRDefault="00CE7F55" w:rsidP="00CE7F55">
      <w:pPr>
        <w:tabs>
          <w:tab w:val="left" w:pos="1134"/>
          <w:tab w:val="left" w:pos="1843"/>
          <w:tab w:val="right" w:pos="8505"/>
        </w:tabs>
        <w:spacing w:line="360" w:lineRule="auto"/>
        <w:ind w:left="567" w:right="89"/>
        <w:rPr>
          <w:sz w:val="22"/>
          <w:szCs w:val="22"/>
        </w:rPr>
      </w:pPr>
      <w:r>
        <w:rPr>
          <w:sz w:val="22"/>
          <w:szCs w:val="22"/>
        </w:rPr>
        <w:tab/>
      </w:r>
      <w:r>
        <w:rPr>
          <w:sz w:val="22"/>
          <w:szCs w:val="22"/>
        </w:rPr>
        <w:tab/>
        <w:t>1.4.2 Directionality Effect</w:t>
      </w:r>
    </w:p>
    <w:p w:rsidR="00CE7F55" w:rsidRDefault="00CE7F55" w:rsidP="00CE7F55">
      <w:pPr>
        <w:tabs>
          <w:tab w:val="left" w:pos="1134"/>
          <w:tab w:val="left" w:pos="1843"/>
          <w:tab w:val="right" w:pos="8505"/>
        </w:tabs>
        <w:spacing w:line="360" w:lineRule="auto"/>
        <w:ind w:left="567" w:right="89"/>
        <w:rPr>
          <w:sz w:val="22"/>
          <w:szCs w:val="22"/>
        </w:rPr>
      </w:pPr>
      <w:r>
        <w:rPr>
          <w:sz w:val="22"/>
          <w:szCs w:val="22"/>
        </w:rPr>
        <w:tab/>
      </w:r>
      <w:r>
        <w:rPr>
          <w:sz w:val="22"/>
          <w:szCs w:val="22"/>
        </w:rPr>
        <w:tab/>
        <w:t>1.4.3 Question Specificity</w:t>
      </w:r>
    </w:p>
    <w:p w:rsidR="00CE7F55" w:rsidRDefault="00CE7F55" w:rsidP="00CE7F55">
      <w:pPr>
        <w:tabs>
          <w:tab w:val="left" w:pos="1134"/>
          <w:tab w:val="left" w:pos="1843"/>
          <w:tab w:val="right" w:pos="8505"/>
        </w:tabs>
        <w:spacing w:line="360" w:lineRule="auto"/>
        <w:ind w:left="567" w:right="89"/>
        <w:rPr>
          <w:sz w:val="22"/>
          <w:szCs w:val="22"/>
        </w:rPr>
      </w:pPr>
      <w:r>
        <w:rPr>
          <w:sz w:val="22"/>
          <w:szCs w:val="22"/>
        </w:rPr>
        <w:tab/>
      </w:r>
      <w:r>
        <w:rPr>
          <w:sz w:val="22"/>
          <w:szCs w:val="22"/>
        </w:rPr>
        <w:tab/>
        <w:t>1.4.4 Question Order</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r>
      <w:r>
        <w:rPr>
          <w:sz w:val="22"/>
          <w:szCs w:val="22"/>
        </w:rPr>
        <w:tab/>
        <w:t>1.4.4.1 Assimilation Effects</w:t>
      </w:r>
      <w:r>
        <w:rPr>
          <w:sz w:val="22"/>
          <w:szCs w:val="22"/>
        </w:rPr>
        <w:tab/>
        <w:t>?</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r>
      <w:r>
        <w:rPr>
          <w:sz w:val="22"/>
          <w:szCs w:val="22"/>
        </w:rPr>
        <w:tab/>
        <w:t>1.4.4.2 Contract Effects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r>
      <w:r>
        <w:rPr>
          <w:sz w:val="22"/>
          <w:szCs w:val="22"/>
        </w:rPr>
        <w:tab/>
        <w:t>1.4.4.3 Inconsistency of Order Effects in Literature</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t>1.5 Studying the Personal Wellbeing Index (PWI)</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t>1.6 Research Aims and Hypotheses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t>1.7 Conclusion</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t>1.8 References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Chapter 2 Empirical Report</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t>2.1 Abstract</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t>2.2 Introduction</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 xml:space="preserve">2.2.1 Measurement of Subjective Wellbeing </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2.2.2 Methodological Concerns in Questionnaires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2.2.3 Order Effects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r>
      <w:r>
        <w:rPr>
          <w:sz w:val="22"/>
          <w:szCs w:val="22"/>
        </w:rPr>
        <w:tab/>
        <w:t>2.2.3.1 Assimilation Effects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r>
      <w:r>
        <w:rPr>
          <w:sz w:val="22"/>
          <w:szCs w:val="22"/>
        </w:rPr>
        <w:tab/>
        <w:t>2.2.3.2 Contrast Effects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r>
      <w:r>
        <w:rPr>
          <w:sz w:val="22"/>
          <w:szCs w:val="22"/>
        </w:rPr>
        <w:tab/>
        <w:t>2.2.3.3 Summary</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2.2.4 Introduction to Present Study</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t>2.3 Method</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2.3.1 Participants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2.3.2 Materials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2.3.3 Procedure</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t>2.4 Results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2.4.1 Data Cleaning and Preparation</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r>
      <w:r>
        <w:rPr>
          <w:sz w:val="22"/>
          <w:szCs w:val="22"/>
        </w:rPr>
        <w:tab/>
        <w:t>2.4.1.1 Assessing Normality</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r>
      <w:r>
        <w:rPr>
          <w:sz w:val="22"/>
          <w:szCs w:val="22"/>
        </w:rPr>
        <w:tab/>
        <w:t>2.4.1.2 Conversion of Raw Scores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2.4.2 Demographic Statistics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2.4.3 Descriptive Statistics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2.4.4 Bivariate Correlations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2.4.5 Hypothesis Testing</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2.4.6 Exploratory Analyses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t>2.5 Discussion</w:t>
      </w:r>
      <w:r>
        <w:rPr>
          <w:sz w:val="22"/>
          <w:szCs w:val="22"/>
        </w:rPr>
        <w:tab/>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2.5.1 Limitations and Future Research</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r>
      <w:r>
        <w:rPr>
          <w:sz w:val="22"/>
          <w:szCs w:val="22"/>
        </w:rPr>
        <w:tab/>
        <w:t>2.5.2 Conclusion</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b/>
        <w:t>2.6 References</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Appendix A: Ethic Approval</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Appendix B: Plain Language Statement</w:t>
      </w:r>
    </w:p>
    <w:p w:rsidR="00CE7F55" w:rsidRDefault="00CE7F55" w:rsidP="00CE7F55">
      <w:pPr>
        <w:tabs>
          <w:tab w:val="left" w:pos="1134"/>
          <w:tab w:val="left" w:pos="1843"/>
          <w:tab w:val="left" w:pos="2552"/>
          <w:tab w:val="right" w:pos="8505"/>
        </w:tabs>
        <w:spacing w:line="360" w:lineRule="auto"/>
        <w:ind w:left="567" w:right="89"/>
        <w:rPr>
          <w:sz w:val="22"/>
          <w:szCs w:val="22"/>
        </w:rPr>
      </w:pPr>
      <w:r>
        <w:rPr>
          <w:sz w:val="22"/>
          <w:szCs w:val="22"/>
        </w:rPr>
        <w:t>Appendix C: Measurement of Subjective Wellbeing</w:t>
      </w:r>
    </w:p>
    <w:p w:rsidR="009F4F80" w:rsidRPr="00AE5F68" w:rsidRDefault="009F4F80" w:rsidP="009F4F80">
      <w:pPr>
        <w:spacing w:line="360" w:lineRule="auto"/>
        <w:ind w:left="567" w:right="-52"/>
        <w:rPr>
          <w:color w:val="FF0000"/>
          <w:sz w:val="22"/>
          <w:szCs w:val="22"/>
        </w:rPr>
      </w:pPr>
    </w:p>
    <w:p w:rsidR="00B331B3" w:rsidRDefault="00B331B3">
      <w:pPr>
        <w:spacing w:line="360" w:lineRule="auto"/>
        <w:ind w:left="567" w:right="-52"/>
        <w:jc w:val="right"/>
        <w:rPr>
          <w:sz w:val="32"/>
          <w:szCs w:val="32"/>
        </w:rPr>
      </w:pPr>
      <w:r>
        <w:rPr>
          <w:sz w:val="22"/>
          <w:szCs w:val="22"/>
        </w:rPr>
        <w:br w:type="page"/>
      </w:r>
      <w:r>
        <w:rPr>
          <w:sz w:val="20"/>
          <w:szCs w:val="20"/>
        </w:rPr>
        <w:t>vi</w:t>
      </w:r>
    </w:p>
    <w:p w:rsidR="00B331B3" w:rsidRDefault="00B331B3">
      <w:pPr>
        <w:spacing w:line="360" w:lineRule="auto"/>
        <w:ind w:left="567" w:right="-52"/>
        <w:jc w:val="center"/>
        <w:rPr>
          <w:b/>
          <w:bCs/>
          <w:sz w:val="22"/>
          <w:szCs w:val="22"/>
        </w:rPr>
      </w:pPr>
      <w:r>
        <w:rPr>
          <w:b/>
          <w:bCs/>
          <w:sz w:val="22"/>
          <w:szCs w:val="22"/>
        </w:rPr>
        <w:t>LIST OF FIGURES</w:t>
      </w:r>
    </w:p>
    <w:p w:rsidR="00B331B3" w:rsidRDefault="00B331B3">
      <w:pPr>
        <w:spacing w:line="360" w:lineRule="auto"/>
        <w:ind w:left="567" w:right="-52"/>
        <w:jc w:val="center"/>
        <w:rPr>
          <w:b/>
          <w:bCs/>
          <w:sz w:val="22"/>
          <w:szCs w:val="22"/>
        </w:rPr>
      </w:pPr>
    </w:p>
    <w:p w:rsidR="00B331B3" w:rsidRPr="005430A2" w:rsidRDefault="00B331B3">
      <w:pPr>
        <w:tabs>
          <w:tab w:val="left" w:pos="1134"/>
          <w:tab w:val="right" w:pos="8505"/>
        </w:tabs>
        <w:spacing w:line="360" w:lineRule="auto"/>
        <w:ind w:left="567" w:right="89"/>
        <w:rPr>
          <w:color w:val="FF0000"/>
          <w:sz w:val="22"/>
          <w:szCs w:val="22"/>
        </w:rPr>
      </w:pPr>
      <w:r w:rsidRPr="005430A2">
        <w:rPr>
          <w:color w:val="FF0000"/>
          <w:sz w:val="22"/>
          <w:szCs w:val="22"/>
        </w:rPr>
        <w:t xml:space="preserve">Figure 1:  </w:t>
      </w:r>
      <w:r w:rsidR="00D37EA1">
        <w:rPr>
          <w:color w:val="FF0000"/>
          <w:sz w:val="22"/>
          <w:szCs w:val="22"/>
        </w:rPr>
        <w:t>Confirmatory Factor Analysis Model</w:t>
      </w:r>
      <w:r w:rsidRPr="005430A2">
        <w:rPr>
          <w:color w:val="FF0000"/>
          <w:sz w:val="22"/>
          <w:szCs w:val="22"/>
        </w:rPr>
        <w:tab/>
        <w:t>10</w:t>
      </w:r>
    </w:p>
    <w:p w:rsidR="00B331B3" w:rsidRDefault="00B331B3">
      <w:pPr>
        <w:tabs>
          <w:tab w:val="left" w:pos="1134"/>
          <w:tab w:val="right" w:pos="8505"/>
        </w:tabs>
        <w:spacing w:line="360" w:lineRule="auto"/>
        <w:ind w:left="567" w:right="89"/>
        <w:rPr>
          <w:sz w:val="22"/>
          <w:szCs w:val="22"/>
        </w:rPr>
      </w:pPr>
    </w:p>
    <w:p w:rsidR="00B331B3" w:rsidRDefault="00B331B3">
      <w:pPr>
        <w:spacing w:line="360" w:lineRule="auto"/>
        <w:ind w:left="567" w:right="-52"/>
        <w:jc w:val="right"/>
        <w:rPr>
          <w:sz w:val="32"/>
          <w:szCs w:val="32"/>
        </w:rPr>
      </w:pPr>
      <w:r>
        <w:rPr>
          <w:sz w:val="22"/>
          <w:szCs w:val="22"/>
        </w:rPr>
        <w:br w:type="page"/>
      </w:r>
      <w:r>
        <w:rPr>
          <w:sz w:val="20"/>
          <w:szCs w:val="20"/>
        </w:rPr>
        <w:t>vii</w:t>
      </w:r>
    </w:p>
    <w:p w:rsidR="00B331B3" w:rsidRDefault="00B331B3">
      <w:pPr>
        <w:spacing w:line="360" w:lineRule="auto"/>
        <w:ind w:left="567" w:right="-52"/>
        <w:jc w:val="center"/>
        <w:rPr>
          <w:b/>
          <w:bCs/>
          <w:sz w:val="22"/>
          <w:szCs w:val="22"/>
        </w:rPr>
      </w:pPr>
      <w:r>
        <w:rPr>
          <w:b/>
          <w:bCs/>
          <w:sz w:val="22"/>
          <w:szCs w:val="22"/>
        </w:rPr>
        <w:t>LIST OF TABLES</w:t>
      </w:r>
    </w:p>
    <w:p w:rsidR="00B331B3" w:rsidRDefault="00B331B3">
      <w:pPr>
        <w:spacing w:line="360" w:lineRule="auto"/>
        <w:ind w:left="567" w:right="-52"/>
        <w:jc w:val="center"/>
        <w:rPr>
          <w:b/>
          <w:bCs/>
          <w:sz w:val="22"/>
          <w:szCs w:val="22"/>
        </w:rPr>
      </w:pPr>
    </w:p>
    <w:p w:rsidR="00B331B3" w:rsidRPr="005430A2" w:rsidRDefault="00B331B3">
      <w:pPr>
        <w:tabs>
          <w:tab w:val="left" w:pos="1134"/>
          <w:tab w:val="right" w:pos="8505"/>
        </w:tabs>
        <w:spacing w:line="360" w:lineRule="auto"/>
        <w:ind w:left="567" w:right="89"/>
        <w:rPr>
          <w:color w:val="FF0000"/>
          <w:sz w:val="22"/>
          <w:szCs w:val="22"/>
        </w:rPr>
      </w:pPr>
      <w:r w:rsidRPr="005430A2">
        <w:rPr>
          <w:color w:val="FF0000"/>
          <w:sz w:val="22"/>
          <w:szCs w:val="22"/>
        </w:rPr>
        <w:t xml:space="preserve">Table </w:t>
      </w:r>
      <w:r w:rsidR="003309C4">
        <w:rPr>
          <w:color w:val="FF0000"/>
          <w:sz w:val="22"/>
          <w:szCs w:val="22"/>
        </w:rPr>
        <w:t xml:space="preserve">1: Demographic information for each condition </w:t>
      </w:r>
      <w:r w:rsidRPr="005430A2">
        <w:rPr>
          <w:color w:val="FF0000"/>
          <w:sz w:val="22"/>
          <w:szCs w:val="22"/>
        </w:rPr>
        <w:tab/>
        <w:t>16</w:t>
      </w:r>
    </w:p>
    <w:p w:rsidR="00B331B3" w:rsidRDefault="00B331B3">
      <w:pPr>
        <w:tabs>
          <w:tab w:val="left" w:pos="1134"/>
          <w:tab w:val="right" w:pos="8505"/>
        </w:tabs>
        <w:spacing w:line="360" w:lineRule="auto"/>
        <w:ind w:left="567" w:right="89"/>
        <w:rPr>
          <w:color w:val="FF0000"/>
          <w:sz w:val="22"/>
          <w:szCs w:val="22"/>
        </w:rPr>
      </w:pPr>
      <w:r w:rsidRPr="005430A2">
        <w:rPr>
          <w:color w:val="FF0000"/>
          <w:sz w:val="22"/>
          <w:szCs w:val="22"/>
        </w:rPr>
        <w:t xml:space="preserve">Table </w:t>
      </w:r>
      <w:r w:rsidR="003309C4">
        <w:rPr>
          <w:color w:val="FF0000"/>
          <w:sz w:val="22"/>
          <w:szCs w:val="22"/>
        </w:rPr>
        <w:t>2: Descriptive statistics of GLS and life domains</w:t>
      </w:r>
      <w:r w:rsidRPr="005430A2">
        <w:rPr>
          <w:color w:val="FF0000"/>
          <w:sz w:val="22"/>
          <w:szCs w:val="22"/>
        </w:rPr>
        <w:tab/>
        <w:t>19</w:t>
      </w:r>
    </w:p>
    <w:p w:rsidR="003309C4" w:rsidRDefault="003309C4">
      <w:pPr>
        <w:tabs>
          <w:tab w:val="left" w:pos="1134"/>
          <w:tab w:val="right" w:pos="8505"/>
        </w:tabs>
        <w:spacing w:line="360" w:lineRule="auto"/>
        <w:ind w:left="567" w:right="89"/>
        <w:rPr>
          <w:color w:val="FF0000"/>
          <w:sz w:val="22"/>
          <w:szCs w:val="22"/>
        </w:rPr>
      </w:pPr>
      <w:r>
        <w:rPr>
          <w:color w:val="FF0000"/>
          <w:sz w:val="22"/>
          <w:szCs w:val="22"/>
        </w:rPr>
        <w:t xml:space="preserve">Table 3: Bivariate correlation matrix of life as a whole and PWI items for both groups </w:t>
      </w:r>
    </w:p>
    <w:p w:rsidR="003309C4" w:rsidRDefault="003309C4">
      <w:pPr>
        <w:tabs>
          <w:tab w:val="left" w:pos="1134"/>
          <w:tab w:val="right" w:pos="8505"/>
        </w:tabs>
        <w:spacing w:line="360" w:lineRule="auto"/>
        <w:ind w:left="567" w:right="89"/>
        <w:rPr>
          <w:color w:val="FF0000"/>
          <w:sz w:val="22"/>
          <w:szCs w:val="22"/>
        </w:rPr>
      </w:pPr>
      <w:r>
        <w:rPr>
          <w:color w:val="FF0000"/>
          <w:sz w:val="22"/>
          <w:szCs w:val="22"/>
        </w:rPr>
        <w:t>Table 4: Summary of Maximum Likelihood Estimation Results for PWI items</w:t>
      </w:r>
    </w:p>
    <w:p w:rsidR="003309C4" w:rsidRDefault="003309C4">
      <w:pPr>
        <w:tabs>
          <w:tab w:val="left" w:pos="1134"/>
          <w:tab w:val="right" w:pos="8505"/>
        </w:tabs>
        <w:spacing w:line="360" w:lineRule="auto"/>
        <w:ind w:left="567" w:right="89"/>
        <w:rPr>
          <w:color w:val="FF0000"/>
          <w:sz w:val="22"/>
          <w:szCs w:val="22"/>
        </w:rPr>
      </w:pPr>
      <w:r>
        <w:rPr>
          <w:color w:val="FF0000"/>
          <w:sz w:val="22"/>
          <w:szCs w:val="22"/>
        </w:rPr>
        <w:t>Table 5: Regression of PWI items on life as a whole</w:t>
      </w:r>
    </w:p>
    <w:p w:rsidR="003309C4" w:rsidRPr="005430A2" w:rsidRDefault="003309C4">
      <w:pPr>
        <w:tabs>
          <w:tab w:val="left" w:pos="1134"/>
          <w:tab w:val="right" w:pos="8505"/>
        </w:tabs>
        <w:spacing w:line="360" w:lineRule="auto"/>
        <w:ind w:left="567" w:right="89"/>
        <w:rPr>
          <w:color w:val="FF0000"/>
          <w:sz w:val="22"/>
          <w:szCs w:val="22"/>
        </w:rPr>
      </w:pPr>
      <w:r>
        <w:rPr>
          <w:color w:val="FF0000"/>
          <w:sz w:val="22"/>
          <w:szCs w:val="22"/>
        </w:rPr>
        <w:t xml:space="preserve">Table 6: Model fit indices for both conditions </w:t>
      </w:r>
    </w:p>
    <w:p w:rsidR="00B331B3" w:rsidRDefault="00B331B3">
      <w:pPr>
        <w:tabs>
          <w:tab w:val="left" w:pos="1134"/>
          <w:tab w:val="right" w:pos="8505"/>
        </w:tabs>
        <w:spacing w:line="360" w:lineRule="auto"/>
        <w:ind w:left="567" w:right="89"/>
        <w:rPr>
          <w:sz w:val="22"/>
          <w:szCs w:val="22"/>
        </w:rPr>
      </w:pPr>
    </w:p>
    <w:p w:rsidR="00BD163D" w:rsidRDefault="00BD163D">
      <w:pPr>
        <w:tabs>
          <w:tab w:val="left" w:pos="1134"/>
          <w:tab w:val="right" w:pos="8505"/>
        </w:tabs>
        <w:spacing w:line="360" w:lineRule="auto"/>
        <w:ind w:left="567" w:right="89"/>
        <w:rPr>
          <w:sz w:val="22"/>
          <w:szCs w:val="22"/>
        </w:rPr>
      </w:pPr>
    </w:p>
    <w:p w:rsidR="00B331B3" w:rsidRDefault="00B331B3">
      <w:pPr>
        <w:tabs>
          <w:tab w:val="left" w:pos="1134"/>
          <w:tab w:val="right" w:pos="8505"/>
        </w:tabs>
        <w:spacing w:line="360" w:lineRule="auto"/>
        <w:ind w:left="567" w:right="89"/>
        <w:rPr>
          <w:sz w:val="22"/>
          <w:szCs w:val="22"/>
        </w:rPr>
      </w:pPr>
    </w:p>
    <w:p w:rsidR="00B331B3" w:rsidRDefault="00B331B3">
      <w:pPr>
        <w:tabs>
          <w:tab w:val="left" w:pos="5103"/>
          <w:tab w:val="left" w:pos="5387"/>
          <w:tab w:val="left" w:pos="8931"/>
        </w:tabs>
        <w:ind w:left="567" w:right="-52"/>
        <w:rPr>
          <w:sz w:val="20"/>
          <w:szCs w:val="20"/>
        </w:rPr>
        <w:sectPr w:rsidR="00B331B3">
          <w:type w:val="continuous"/>
          <w:pgSz w:w="11900" w:h="16820"/>
          <w:pgMar w:top="1440" w:right="1440" w:bottom="1440" w:left="1701" w:header="709" w:footer="709" w:gutter="0"/>
          <w:cols w:space="709"/>
        </w:sectPr>
      </w:pPr>
    </w:p>
    <w:p w:rsidR="00B331B3" w:rsidRPr="00A273BF" w:rsidRDefault="00B331B3">
      <w:pPr>
        <w:tabs>
          <w:tab w:val="left" w:pos="5103"/>
          <w:tab w:val="left" w:pos="5387"/>
          <w:tab w:val="left" w:pos="8931"/>
        </w:tabs>
        <w:ind w:left="567" w:right="-52"/>
        <w:rPr>
          <w:i/>
        </w:rPr>
      </w:pPr>
      <w:r w:rsidRPr="00A273BF">
        <w:rPr>
          <w:i/>
        </w:rPr>
        <w:t>If you insert your Literature Review and Empirical Report here  - Arabic-numeral page numbering will automatically appear.</w:t>
      </w:r>
    </w:p>
    <w:p w:rsidR="00B331B3" w:rsidRDefault="00B331B3">
      <w:pPr>
        <w:tabs>
          <w:tab w:val="left" w:pos="5103"/>
          <w:tab w:val="left" w:pos="5387"/>
          <w:tab w:val="left" w:pos="8931"/>
        </w:tabs>
        <w:ind w:left="567" w:right="-52"/>
      </w:pPr>
    </w:p>
    <w:p w:rsidR="00345E29" w:rsidRDefault="003F2D86" w:rsidP="00BD163D">
      <w:pPr>
        <w:pStyle w:val="BlockText"/>
        <w:pBdr>
          <w:top w:val="single" w:sz="4" w:space="1" w:color="auto"/>
          <w:left w:val="single" w:sz="4" w:space="5" w:color="auto"/>
          <w:bottom w:val="single" w:sz="4" w:space="1" w:color="auto"/>
          <w:right w:val="single" w:sz="4" w:space="4" w:color="auto"/>
        </w:pBdr>
        <w:rPr>
          <w:b/>
          <w:color w:val="FF0000"/>
        </w:rPr>
      </w:pPr>
      <w:r w:rsidRPr="003F2D86">
        <w:rPr>
          <w:b/>
          <w:color w:val="FF0000"/>
        </w:rPr>
        <w:t xml:space="preserve">Submit </w:t>
      </w:r>
      <w:r w:rsidR="00A273BF">
        <w:rPr>
          <w:b/>
          <w:color w:val="FF0000"/>
        </w:rPr>
        <w:t xml:space="preserve">one ELECTRONIC </w:t>
      </w:r>
      <w:r w:rsidR="004675E3">
        <w:rPr>
          <w:b/>
          <w:color w:val="FF0000"/>
        </w:rPr>
        <w:t xml:space="preserve">PDF </w:t>
      </w:r>
      <w:r w:rsidR="00A273BF">
        <w:rPr>
          <w:b/>
          <w:color w:val="FF0000"/>
        </w:rPr>
        <w:t>COPY</w:t>
      </w:r>
      <w:r w:rsidRPr="003F2D86">
        <w:rPr>
          <w:b/>
          <w:color w:val="FF0000"/>
        </w:rPr>
        <w:t xml:space="preserve"> of the final thesis to </w:t>
      </w:r>
      <w:r w:rsidR="00345E29">
        <w:rPr>
          <w:b/>
          <w:color w:val="FF0000"/>
        </w:rPr>
        <w:t>the:</w:t>
      </w:r>
    </w:p>
    <w:p w:rsidR="00345E29" w:rsidRDefault="00345E29" w:rsidP="00BD163D">
      <w:pPr>
        <w:pStyle w:val="BlockText"/>
        <w:pBdr>
          <w:top w:val="single" w:sz="4" w:space="1" w:color="auto"/>
          <w:left w:val="single" w:sz="4" w:space="5" w:color="auto"/>
          <w:bottom w:val="single" w:sz="4" w:space="1" w:color="auto"/>
          <w:right w:val="single" w:sz="4" w:space="4" w:color="auto"/>
        </w:pBdr>
        <w:rPr>
          <w:b/>
          <w:color w:val="FF0000"/>
        </w:rPr>
      </w:pPr>
    </w:p>
    <w:p w:rsidR="003F2D86" w:rsidRDefault="00345E29" w:rsidP="00BD163D">
      <w:pPr>
        <w:pStyle w:val="BlockText"/>
        <w:pBdr>
          <w:top w:val="single" w:sz="4" w:space="1" w:color="auto"/>
          <w:left w:val="single" w:sz="4" w:space="5" w:color="auto"/>
          <w:bottom w:val="single" w:sz="4" w:space="1" w:color="auto"/>
          <w:right w:val="single" w:sz="4" w:space="4" w:color="auto"/>
        </w:pBdr>
        <w:rPr>
          <w:b/>
          <w:color w:val="FF0000"/>
        </w:rPr>
      </w:pPr>
      <w:r w:rsidRPr="00BD163D">
        <w:rPr>
          <w:b/>
          <w:color w:val="FF0000"/>
          <w:highlight w:val="yellow"/>
        </w:rPr>
        <w:t>THESIS</w:t>
      </w:r>
      <w:r w:rsidR="00BD163D" w:rsidRPr="00BD163D">
        <w:rPr>
          <w:b/>
          <w:color w:val="FF0000"/>
          <w:highlight w:val="yellow"/>
        </w:rPr>
        <w:t xml:space="preserve"> – LITERATURE REVIEW AND EMPIRICAL REVIEW</w:t>
      </w:r>
      <w:r>
        <w:rPr>
          <w:b/>
          <w:color w:val="FF0000"/>
        </w:rPr>
        <w:t xml:space="preserve"> Dropbox on D2L</w:t>
      </w:r>
    </w:p>
    <w:p w:rsidR="004675E3" w:rsidRDefault="004675E3" w:rsidP="00BD163D">
      <w:pPr>
        <w:pStyle w:val="BlockText"/>
        <w:pBdr>
          <w:top w:val="single" w:sz="4" w:space="1" w:color="auto"/>
          <w:left w:val="single" w:sz="4" w:space="5" w:color="auto"/>
          <w:bottom w:val="single" w:sz="4" w:space="1" w:color="auto"/>
          <w:right w:val="single" w:sz="4" w:space="4" w:color="auto"/>
        </w:pBdr>
        <w:rPr>
          <w:b/>
          <w:color w:val="FF0000"/>
        </w:rPr>
      </w:pPr>
    </w:p>
    <w:p w:rsidR="004675E3" w:rsidRDefault="004675E3" w:rsidP="00BD163D">
      <w:pPr>
        <w:pStyle w:val="BlockText"/>
        <w:pBdr>
          <w:top w:val="single" w:sz="4" w:space="1" w:color="auto"/>
          <w:left w:val="single" w:sz="4" w:space="5" w:color="auto"/>
          <w:bottom w:val="single" w:sz="4" w:space="1" w:color="auto"/>
          <w:right w:val="single" w:sz="4" w:space="4" w:color="auto"/>
        </w:pBdr>
        <w:rPr>
          <w:b/>
          <w:color w:val="FF0000"/>
        </w:rPr>
      </w:pPr>
      <w:r>
        <w:rPr>
          <w:b/>
          <w:color w:val="FF0000"/>
        </w:rPr>
        <w:t>Please convert your document to PDF format before submitting it</w:t>
      </w:r>
      <w:r w:rsidR="00345E29">
        <w:rPr>
          <w:b/>
          <w:color w:val="FF0000"/>
        </w:rPr>
        <w:t>.</w:t>
      </w:r>
    </w:p>
    <w:p w:rsidR="003B1EEF" w:rsidRDefault="003B1EEF" w:rsidP="00BD163D">
      <w:pPr>
        <w:pStyle w:val="BlockText"/>
        <w:pBdr>
          <w:top w:val="single" w:sz="4" w:space="1" w:color="auto"/>
          <w:left w:val="single" w:sz="4" w:space="5" w:color="auto"/>
          <w:bottom w:val="single" w:sz="4" w:space="1" w:color="auto"/>
          <w:right w:val="single" w:sz="4" w:space="4" w:color="auto"/>
        </w:pBdr>
        <w:rPr>
          <w:b/>
          <w:color w:val="FF0000"/>
        </w:rPr>
      </w:pPr>
    </w:p>
    <w:p w:rsidR="003F2D86" w:rsidRDefault="003F2D86">
      <w:pPr>
        <w:pStyle w:val="BlockText"/>
      </w:pPr>
    </w:p>
    <w:p w:rsidR="00B331B3" w:rsidRDefault="003F2D86">
      <w:pPr>
        <w:pStyle w:val="BlockText"/>
      </w:pPr>
      <w:r>
        <w:t>T</w:t>
      </w:r>
      <w:r w:rsidR="00B331B3">
        <w:t xml:space="preserve">he final </w:t>
      </w:r>
      <w:r w:rsidR="00A273BF">
        <w:t>electronically submitted</w:t>
      </w:r>
      <w:r w:rsidR="00B331B3">
        <w:t xml:space="preserve"> thesis will consist of the following components:</w:t>
      </w:r>
    </w:p>
    <w:p w:rsidR="00A273BF" w:rsidRDefault="00A273BF">
      <w:pPr>
        <w:pStyle w:val="BlockText"/>
      </w:pPr>
    </w:p>
    <w:p w:rsidR="00B331B3" w:rsidRDefault="00B331B3">
      <w:pPr>
        <w:numPr>
          <w:ilvl w:val="0"/>
          <w:numId w:val="1"/>
        </w:numPr>
        <w:ind w:left="1004" w:hanging="284"/>
      </w:pPr>
      <w:r>
        <w:t xml:space="preserve">The required </w:t>
      </w:r>
      <w:r>
        <w:rPr>
          <w:i/>
          <w:iCs/>
        </w:rPr>
        <w:t>pro forma</w:t>
      </w:r>
      <w:r>
        <w:t xml:space="preserve"> initial pages, </w:t>
      </w:r>
      <w:r w:rsidRPr="00A273BF">
        <w:t>signed by student and supervisor</w:t>
      </w:r>
      <w:r>
        <w:t xml:space="preserve"> (</w:t>
      </w:r>
      <w:r w:rsidR="00A273BF">
        <w:t xml:space="preserve">and </w:t>
      </w:r>
      <w:r>
        <w:t>numbered consecutively in Roman numerals)</w:t>
      </w:r>
      <w:r w:rsidR="00A273BF">
        <w:t xml:space="preserve"> with signatures provided either electronically </w:t>
      </w:r>
      <w:r w:rsidR="00A273BF" w:rsidRPr="00A273BF">
        <w:rPr>
          <w:b/>
        </w:rPr>
        <w:t>OR</w:t>
      </w:r>
      <w:r w:rsidR="00A273BF">
        <w:t xml:space="preserve"> the signature page printed a</w:t>
      </w:r>
      <w:r w:rsidR="00AE5F68">
        <w:t>nd scanned.</w:t>
      </w:r>
    </w:p>
    <w:p w:rsidR="00A273BF" w:rsidRDefault="00A273BF" w:rsidP="00A273BF">
      <w:pPr>
        <w:ind w:left="1004"/>
      </w:pPr>
    </w:p>
    <w:p w:rsidR="00B331B3" w:rsidRDefault="00B331B3">
      <w:pPr>
        <w:numPr>
          <w:ilvl w:val="0"/>
          <w:numId w:val="1"/>
        </w:numPr>
        <w:ind w:left="1004" w:hanging="284"/>
      </w:pPr>
      <w:r>
        <w:t>Chapter 1 (the Literature Review, beginning with an Abstract on a separate page, and followed by a reference list commencing on a separate page; numbered consecutively in Arabic numerals from the Abstract).</w:t>
      </w:r>
    </w:p>
    <w:p w:rsidR="00A273BF" w:rsidRDefault="00A273BF" w:rsidP="00A273BF">
      <w:pPr>
        <w:ind w:left="1004"/>
      </w:pPr>
    </w:p>
    <w:p w:rsidR="00B331B3" w:rsidRDefault="00B331B3">
      <w:pPr>
        <w:numPr>
          <w:ilvl w:val="0"/>
          <w:numId w:val="1"/>
        </w:numPr>
        <w:ind w:left="1004" w:hanging="284"/>
      </w:pPr>
      <w:r>
        <w:t>Chapter 2 (the Empirical Report, beginning with an Abstract on a separate page, and followed by a reference list commencing on a separate page; numbered consecutively in Arabic numerals from the final page of the Literature Review).</w:t>
      </w:r>
    </w:p>
    <w:p w:rsidR="00A273BF" w:rsidRDefault="00A273BF" w:rsidP="00A273BF">
      <w:pPr>
        <w:ind w:left="1004"/>
      </w:pPr>
    </w:p>
    <w:p w:rsidR="003F2D86" w:rsidRDefault="003F2D86">
      <w:pPr>
        <w:numPr>
          <w:ilvl w:val="0"/>
          <w:numId w:val="1"/>
        </w:numPr>
        <w:ind w:left="1004" w:hanging="284"/>
      </w:pPr>
      <w:r>
        <w:t xml:space="preserve">References – </w:t>
      </w:r>
      <w:r w:rsidR="00197B65">
        <w:t xml:space="preserve">you can include a separate reference section after each chapter or a single reference section at the end of thesis that combines the references from the two chapters. It’s up to you. </w:t>
      </w:r>
    </w:p>
    <w:p w:rsidR="00A273BF" w:rsidRDefault="00A273BF" w:rsidP="00A273BF">
      <w:pPr>
        <w:ind w:left="1004"/>
      </w:pPr>
    </w:p>
    <w:p w:rsidR="00B331B3" w:rsidRDefault="00B331B3">
      <w:pPr>
        <w:numPr>
          <w:ilvl w:val="0"/>
          <w:numId w:val="1"/>
        </w:numPr>
        <w:spacing w:after="120"/>
        <w:ind w:left="1003"/>
      </w:pPr>
      <w:r>
        <w:t>Appendices</w:t>
      </w:r>
    </w:p>
    <w:p w:rsidR="00B331B3" w:rsidRDefault="00B331B3">
      <w:pPr>
        <w:tabs>
          <w:tab w:val="left" w:pos="5103"/>
          <w:tab w:val="left" w:pos="5387"/>
          <w:tab w:val="left" w:pos="8931"/>
        </w:tabs>
        <w:ind w:left="567" w:right="-52"/>
      </w:pPr>
    </w:p>
    <w:p w:rsidR="00B331B3" w:rsidRDefault="00B331B3">
      <w:pPr>
        <w:tabs>
          <w:tab w:val="left" w:pos="5103"/>
          <w:tab w:val="left" w:pos="5387"/>
          <w:tab w:val="left" w:pos="8931"/>
        </w:tabs>
        <w:ind w:left="567" w:right="-52"/>
      </w:pPr>
      <w:r>
        <w:t xml:space="preserve">If you have any troubles with this </w:t>
      </w:r>
      <w:r>
        <w:rPr>
          <w:i/>
          <w:iCs/>
        </w:rPr>
        <w:t>proforma</w:t>
      </w:r>
      <w:r>
        <w:t xml:space="preserve">, </w:t>
      </w:r>
      <w:r w:rsidR="00A273BF">
        <w:t>email</w:t>
      </w:r>
      <w:r w:rsidR="00172C0B">
        <w:t xml:space="preserve"> </w:t>
      </w:r>
      <w:r w:rsidR="0018220B">
        <w:t>Alex Mussap</w:t>
      </w:r>
      <w:r w:rsidR="00172C0B">
        <w:t xml:space="preserve"> </w:t>
      </w:r>
      <w:r w:rsidR="00A273BF">
        <w:t xml:space="preserve">on: </w:t>
      </w:r>
      <w:hyperlink r:id="rId8" w:history="1">
        <w:r w:rsidR="00753499" w:rsidRPr="00B648ED">
          <w:rPr>
            <w:rStyle w:val="Hyperlink"/>
          </w:rPr>
          <w:t>mussap@deakin.edu.au</w:t>
        </w:r>
      </w:hyperlink>
    </w:p>
    <w:p w:rsidR="00753499" w:rsidRDefault="00753499">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5430A2" w:rsidRDefault="005430A2">
      <w:pPr>
        <w:tabs>
          <w:tab w:val="left" w:pos="5103"/>
          <w:tab w:val="left" w:pos="5387"/>
          <w:tab w:val="left" w:pos="8931"/>
        </w:tabs>
        <w:ind w:left="567" w:right="-52"/>
      </w:pPr>
    </w:p>
    <w:p w:rsidR="00277FE1" w:rsidRPr="00277FE1" w:rsidRDefault="00277FE1" w:rsidP="00277FE1">
      <w:pPr>
        <w:adjustRightInd w:val="0"/>
        <w:jc w:val="center"/>
        <w:rPr>
          <w:rFonts w:ascii="Times New Roman" w:hAnsi="Times New Roman" w:cs="Times New Roman"/>
        </w:rPr>
      </w:pPr>
      <w:r>
        <w:rPr>
          <w:rFonts w:ascii="Times New Roman" w:hAnsi="Times New Roman" w:cs="Times New Roman"/>
        </w:rPr>
        <w:br w:type="page"/>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b/>
          <w:bCs/>
          <w:sz w:val="36"/>
          <w:szCs w:val="36"/>
          <w:lang w:val="en-AU" w:eastAsia="en-AU"/>
        </w:rPr>
        <w:t>CHAPTER 1:</w:t>
      </w:r>
    </w:p>
    <w:p w:rsidR="00277FE1" w:rsidRDefault="00277FE1" w:rsidP="00277FE1">
      <w:pPr>
        <w:autoSpaceDE/>
        <w:autoSpaceDN/>
        <w:spacing w:after="200" w:line="276" w:lineRule="auto"/>
        <w:jc w:val="center"/>
        <w:rPr>
          <w:rFonts w:ascii="Times New Roman" w:hAnsi="Times New Roman" w:cs="Times New Roman"/>
        </w:rPr>
      </w:pPr>
      <w:r>
        <w:rPr>
          <w:rFonts w:ascii="Times New Roman" w:hAnsi="Times New Roman" w:cs="Times New Roman"/>
          <w:b/>
          <w:bCs/>
          <w:sz w:val="36"/>
          <w:szCs w:val="36"/>
          <w:lang w:val="en-AU" w:eastAsia="en-AU"/>
        </w:rPr>
        <w:t>LITERATURE REVIEW</w:t>
      </w:r>
    </w:p>
    <w:p w:rsidR="00277FE1" w:rsidRDefault="00277FE1">
      <w:pPr>
        <w:autoSpaceDE/>
        <w:autoSpaceDN/>
        <w:spacing w:after="200" w:line="276" w:lineRule="auto"/>
        <w:rPr>
          <w:rFonts w:ascii="Times New Roman" w:hAnsi="Times New Roman" w:cs="Times New Roman"/>
        </w:rPr>
      </w:pPr>
      <w:r>
        <w:rPr>
          <w:rFonts w:ascii="Times New Roman" w:hAnsi="Times New Roman" w:cs="Times New Roman"/>
        </w:rPr>
        <w:br w:type="page"/>
      </w:r>
    </w:p>
    <w:p w:rsidR="00805261" w:rsidRPr="0030670C" w:rsidRDefault="00805261" w:rsidP="00805261">
      <w:pPr>
        <w:spacing w:line="360" w:lineRule="auto"/>
        <w:jc w:val="center"/>
        <w:rPr>
          <w:rFonts w:ascii="Times New Roman" w:hAnsi="Times New Roman" w:cs="Times New Roman"/>
        </w:rPr>
      </w:pPr>
      <w:r w:rsidRPr="0030670C">
        <w:rPr>
          <w:rFonts w:ascii="Times New Roman" w:hAnsi="Times New Roman" w:cs="Times New Roman"/>
        </w:rPr>
        <w:t>Abstract</w:t>
      </w:r>
    </w:p>
    <w:p w:rsidR="00805261" w:rsidRPr="00EA7F5D" w:rsidRDefault="00805261" w:rsidP="00805261">
      <w:pPr>
        <w:spacing w:line="360" w:lineRule="auto"/>
        <w:rPr>
          <w:rFonts w:ascii="Times New Roman" w:hAnsi="Times New Roman" w:cs="Times New Roman"/>
        </w:rPr>
      </w:pPr>
      <w:r>
        <w:rPr>
          <w:rFonts w:ascii="Times New Roman" w:hAnsi="Times New Roman" w:cs="Times New Roman"/>
        </w:rPr>
        <w:t>Understanding happiness, also referred to as subjective wellbeing (SWB), has become increasingly popular in scientific literate as positive emotions have a range of benefits on individuals and nations as a whole. Measuring SWB commonly involves using self-report questionnaires which can be influenced by a number of methodological issues. Order effects are one such concern whereby the</w:t>
      </w:r>
      <w:r w:rsidRPr="00DD3A4E">
        <w:rPr>
          <w:rFonts w:ascii="Times New Roman" w:hAnsi="Times New Roman" w:cs="Times New Roman"/>
        </w:rPr>
        <w:t xml:space="preserve"> interpretation</w:t>
      </w:r>
      <w:r>
        <w:rPr>
          <w:rFonts w:ascii="Times New Roman" w:hAnsi="Times New Roman" w:cs="Times New Roman"/>
        </w:rPr>
        <w:t xml:space="preserve"> of questions are </w:t>
      </w:r>
      <w:r w:rsidRPr="00DD3A4E">
        <w:rPr>
          <w:rFonts w:ascii="Times New Roman" w:hAnsi="Times New Roman" w:cs="Times New Roman"/>
        </w:rPr>
        <w:t>highly influenced by</w:t>
      </w:r>
      <w:r>
        <w:rPr>
          <w:rFonts w:ascii="Times New Roman" w:hAnsi="Times New Roman" w:cs="Times New Roman"/>
        </w:rPr>
        <w:t xml:space="preserve"> questions which precede the</w:t>
      </w:r>
      <w:r w:rsidRPr="00DD3A4E">
        <w:rPr>
          <w:rFonts w:ascii="Times New Roman" w:hAnsi="Times New Roman" w:cs="Times New Roman"/>
        </w:rPr>
        <w:t>m</w:t>
      </w:r>
      <w:r>
        <w:rPr>
          <w:rFonts w:ascii="Times New Roman" w:hAnsi="Times New Roman" w:cs="Times New Roman"/>
        </w:rPr>
        <w:t xml:space="preserve">. Thereby, the responses are not due to the questions being asked but due to the question order. The Personal Wellbeing Index (PWI) constitutes an ideal measure of the SWB with sound psychometric properties, however the tool has never been tested in regards to order effect. The PWI states a precise format for questions to be asked, consisting of one question on overall life satisfaction followed by seven questions in regards to life satisfaction in life domains. Literature has found that placing general questions are more susceptible to order effects. </w:t>
      </w:r>
      <w:r w:rsidRPr="00527F81">
        <w:rPr>
          <w:rFonts w:ascii="Times New Roman" w:hAnsi="Times New Roman" w:cs="Times New Roman"/>
        </w:rPr>
        <w:t xml:space="preserve">For the current study, the psychometric properties of the PWI will be investigated within the context of order effects. </w:t>
      </w:r>
      <w:r>
        <w:rPr>
          <w:rFonts w:ascii="Times New Roman" w:hAnsi="Times New Roman" w:cs="Times New Roman"/>
        </w:rPr>
        <w:t xml:space="preserve">It is concluded that if the PWI is an effective measure of SWB, changing the order of the questions should not significantly affect the results. </w:t>
      </w:r>
    </w:p>
    <w:p w:rsidR="00805261" w:rsidRDefault="00805261" w:rsidP="00805261">
      <w:pPr>
        <w:spacing w:line="360" w:lineRule="auto"/>
        <w:rPr>
          <w:rFonts w:ascii="Times New Roman" w:hAnsi="Times New Roman" w:cs="Times New Roman"/>
          <w:b/>
        </w:rPr>
      </w:pPr>
      <w:r>
        <w:rPr>
          <w:rFonts w:ascii="Times New Roman" w:hAnsi="Times New Roman" w:cs="Times New Roman"/>
          <w:b/>
        </w:rPr>
        <w:br w:type="page"/>
      </w:r>
    </w:p>
    <w:p w:rsidR="00805261" w:rsidRPr="005917AF" w:rsidRDefault="00805261" w:rsidP="00805261">
      <w:pPr>
        <w:spacing w:after="240" w:line="360" w:lineRule="auto"/>
        <w:jc w:val="center"/>
        <w:rPr>
          <w:rFonts w:ascii="Times New Roman" w:hAnsi="Times New Roman" w:cs="Times New Roman"/>
          <w:b/>
        </w:rPr>
      </w:pPr>
      <w:r w:rsidRPr="005917AF">
        <w:rPr>
          <w:rFonts w:ascii="Times New Roman" w:hAnsi="Times New Roman" w:cs="Times New Roman"/>
          <w:b/>
        </w:rPr>
        <w:t>1. Subjective Wellbeing</w:t>
      </w:r>
      <w:r>
        <w:rPr>
          <w:rFonts w:ascii="Times New Roman" w:hAnsi="Times New Roman" w:cs="Times New Roman"/>
          <w:b/>
        </w:rPr>
        <w:t xml:space="preserve"> (SWB)</w:t>
      </w:r>
    </w:p>
    <w:p w:rsidR="00805261" w:rsidRPr="00A624D6" w:rsidRDefault="00805261" w:rsidP="00805261">
      <w:pPr>
        <w:spacing w:after="240" w:line="360" w:lineRule="auto"/>
        <w:ind w:firstLine="720"/>
        <w:rPr>
          <w:rFonts w:ascii="Times New Roman" w:hAnsi="Times New Roman" w:cs="Times New Roman"/>
        </w:rPr>
      </w:pPr>
      <w:r>
        <w:rPr>
          <w:rFonts w:ascii="Times New Roman" w:hAnsi="Times New Roman" w:cs="Times New Roman"/>
        </w:rPr>
        <w:t>Individuals strive to achieve happiness in their lives as they want to lead a life which they value as desirable (Kesebir &amp; Diener, 2008). Some individuals appear happier than others, which brings into question whether these individuals have an inherently happier disposition or whether life events affect individuals emotional state. Fredrikson (1998) described a range of beneficial outcomes that result from positive emotion whereby emotions such as joy and content allow one to broaden their skills and knowledge to adapt successfully to their environment. As happiness is seen as that beneficial it is vital to understand what makes someone happy and therefore be able to accurately measure happiness.</w:t>
      </w:r>
      <w:r w:rsidRPr="00FF5DD3">
        <w:rPr>
          <w:rFonts w:ascii="Times New Roman" w:hAnsi="Times New Roman" w:cs="Times New Roman"/>
        </w:rPr>
        <w:t xml:space="preserve"> </w:t>
      </w:r>
    </w:p>
    <w:p w:rsidR="00805261" w:rsidRPr="00A624D6" w:rsidRDefault="00805261" w:rsidP="00805261">
      <w:pPr>
        <w:spacing w:after="240" w:line="360" w:lineRule="auto"/>
        <w:rPr>
          <w:rFonts w:ascii="Times New Roman" w:hAnsi="Times New Roman" w:cs="Times New Roman"/>
          <w:b/>
        </w:rPr>
      </w:pPr>
      <w:r>
        <w:rPr>
          <w:rFonts w:ascii="Times New Roman" w:hAnsi="Times New Roman" w:cs="Times New Roman"/>
          <w:b/>
        </w:rPr>
        <w:t>1</w:t>
      </w:r>
      <w:r w:rsidRPr="00A624D6">
        <w:rPr>
          <w:rFonts w:ascii="Times New Roman" w:hAnsi="Times New Roman" w:cs="Times New Roman"/>
          <w:b/>
        </w:rPr>
        <w:t xml:space="preserve">.1 </w:t>
      </w:r>
      <w:r>
        <w:rPr>
          <w:rFonts w:ascii="Times New Roman" w:hAnsi="Times New Roman" w:cs="Times New Roman"/>
          <w:b/>
        </w:rPr>
        <w:t>Composition of</w:t>
      </w:r>
      <w:r w:rsidRPr="00A624D6">
        <w:rPr>
          <w:rFonts w:ascii="Times New Roman" w:hAnsi="Times New Roman" w:cs="Times New Roman"/>
          <w:b/>
        </w:rPr>
        <w:t xml:space="preserve"> </w:t>
      </w:r>
      <w:r>
        <w:rPr>
          <w:rFonts w:ascii="Times New Roman" w:hAnsi="Times New Roman" w:cs="Times New Roman"/>
          <w:b/>
        </w:rPr>
        <w:t>SWB</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 xml:space="preserve">In the scientific literature, happiness is referred to as subjective wellbeing (SWB). SWB </w:t>
      </w:r>
      <w:r w:rsidRPr="0030670C">
        <w:rPr>
          <w:rFonts w:ascii="Times New Roman" w:hAnsi="Times New Roman" w:cs="Times New Roman"/>
        </w:rPr>
        <w:t>is</w:t>
      </w:r>
      <w:r>
        <w:rPr>
          <w:rFonts w:ascii="Times New Roman" w:hAnsi="Times New Roman" w:cs="Times New Roman"/>
        </w:rPr>
        <w:t>,</w:t>
      </w:r>
      <w:r w:rsidRPr="0030670C">
        <w:rPr>
          <w:rFonts w:ascii="Times New Roman" w:hAnsi="Times New Roman" w:cs="Times New Roman"/>
        </w:rPr>
        <w:t xml:space="preserve"> however</w:t>
      </w:r>
      <w:r>
        <w:rPr>
          <w:rFonts w:ascii="Times New Roman" w:hAnsi="Times New Roman" w:cs="Times New Roman"/>
        </w:rPr>
        <w:t>,</w:t>
      </w:r>
      <w:r w:rsidRPr="0030670C">
        <w:rPr>
          <w:rFonts w:ascii="Times New Roman" w:hAnsi="Times New Roman" w:cs="Times New Roman"/>
        </w:rPr>
        <w:t xml:space="preserve"> not a clear</w:t>
      </w:r>
      <w:r>
        <w:rPr>
          <w:rFonts w:ascii="Times New Roman" w:hAnsi="Times New Roman" w:cs="Times New Roman"/>
        </w:rPr>
        <w:t xml:space="preserve"> </w:t>
      </w:r>
      <w:r w:rsidRPr="0030670C">
        <w:rPr>
          <w:rFonts w:ascii="Times New Roman" w:hAnsi="Times New Roman" w:cs="Times New Roman"/>
        </w:rPr>
        <w:t xml:space="preserve">cut construct, </w:t>
      </w:r>
      <w:r>
        <w:rPr>
          <w:rFonts w:ascii="Times New Roman" w:hAnsi="Times New Roman" w:cs="Times New Roman"/>
        </w:rPr>
        <w:t xml:space="preserve">and has </w:t>
      </w:r>
      <w:r w:rsidRPr="0030670C">
        <w:rPr>
          <w:rFonts w:ascii="Times New Roman" w:hAnsi="Times New Roman" w:cs="Times New Roman"/>
        </w:rPr>
        <w:t>many definitions</w:t>
      </w:r>
      <w:r>
        <w:rPr>
          <w:rFonts w:ascii="Times New Roman" w:hAnsi="Times New Roman" w:cs="Times New Roman"/>
        </w:rPr>
        <w:t>. Over the past thirty years, researchers have focused on exploring what constitutes SWB (Diener, Suh, Lucas, &amp; Smith, 1999) to enhance understanding of the construct. This interest led to many theories which attempt to explain SWB, and it has generally been agreed that SWB comprises two broad components; affect and cognition</w:t>
      </w:r>
      <w:r w:rsidRPr="00B733CB">
        <w:rPr>
          <w:rFonts w:ascii="Times New Roman" w:hAnsi="Times New Roman" w:cs="Times New Roman"/>
        </w:rPr>
        <w:t xml:space="preserve"> (Kesebir and Diener, 2008). </w:t>
      </w:r>
      <w:r>
        <w:rPr>
          <w:rFonts w:ascii="Times New Roman" w:hAnsi="Times New Roman" w:cs="Times New Roman"/>
        </w:rPr>
        <w:t>Although there is agreement to the composition of SWB, there has been debate over</w:t>
      </w:r>
      <w:r w:rsidRPr="00B733CB">
        <w:rPr>
          <w:rFonts w:ascii="Times New Roman" w:hAnsi="Times New Roman" w:cs="Times New Roman"/>
        </w:rPr>
        <w:t xml:space="preserve"> which </w:t>
      </w:r>
      <w:r>
        <w:rPr>
          <w:rFonts w:ascii="Times New Roman" w:hAnsi="Times New Roman" w:cs="Times New Roman"/>
        </w:rPr>
        <w:t>component dominates</w:t>
      </w:r>
      <w:r w:rsidRPr="00B733CB">
        <w:rPr>
          <w:rFonts w:ascii="Times New Roman" w:hAnsi="Times New Roman" w:cs="Times New Roman"/>
        </w:rPr>
        <w:t xml:space="preserve">. </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 xml:space="preserve">Diener (2006) defined SWB in terms of how individuals evaluate their lives. This reflects the cognitive component underlying SWB as it involves individuals determining how satisfied they are with aspects of their life (Diener, 2006), however it may also reflect various affective components. Diener refers to two distinct forms of affective factors responsible for influencing SWB: positive affect, emotions felt that are perceived as pleasant and negative affect, emotions perceived unpleasant (Diener, 2006). Diener argued that although there are many facets that underlie SWB, it is dominated by cognition. </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 xml:space="preserve">One theory termed the </w:t>
      </w:r>
      <w:r w:rsidRPr="00A418D1">
        <w:rPr>
          <w:rFonts w:ascii="Times New Roman" w:hAnsi="Times New Roman" w:cs="Times New Roman"/>
        </w:rPr>
        <w:t>Multiple Discrepancies Theory (MDT</w:t>
      </w:r>
      <w:r>
        <w:rPr>
          <w:rFonts w:ascii="Times New Roman" w:hAnsi="Times New Roman" w:cs="Times New Roman"/>
        </w:rPr>
        <w:t>; Michalos, 1985), in agreement with Diener, proposes that cognition is the dominating component underlying SWB. MDT</w:t>
      </w:r>
      <w:r w:rsidRPr="00A418D1">
        <w:rPr>
          <w:rFonts w:ascii="Times New Roman" w:hAnsi="Times New Roman" w:cs="Times New Roman"/>
        </w:rPr>
        <w:t xml:space="preserve"> </w:t>
      </w:r>
      <w:r>
        <w:rPr>
          <w:rFonts w:ascii="Times New Roman" w:hAnsi="Times New Roman" w:cs="Times New Roman"/>
        </w:rPr>
        <w:t>defines SWB as a result of the cognitive evaluations and comparisons an individual makes between their current and ideal state (Michalos, 1985). Higher wellbeing levels are expected when the discrepancies between the evaluations of one’s current and ideal state are perceived as small.</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An alternate perspective on SWB is that affect is the dominating influence.</w:t>
      </w:r>
      <w:r w:rsidRPr="00A305CC">
        <w:rPr>
          <w:rFonts w:ascii="Times New Roman" w:hAnsi="Times New Roman" w:cs="Times New Roman"/>
        </w:rPr>
        <w:t xml:space="preserve"> Core affect refers to an innate level of affect that is not directly affected by life events (Russell, 2003).</w:t>
      </w:r>
      <w:r>
        <w:rPr>
          <w:rFonts w:ascii="Times New Roman" w:hAnsi="Times New Roman" w:cs="Times New Roman"/>
        </w:rPr>
        <w:t xml:space="preserve"> The free-floating nature of core affect (Russell, 2003) proposes that individuals have a stable level of affect monitored and defended by psychological mechanisms.</w:t>
      </w:r>
    </w:p>
    <w:p w:rsidR="00805261" w:rsidRPr="005E7515" w:rsidRDefault="00805261" w:rsidP="00805261">
      <w:pPr>
        <w:spacing w:after="240" w:line="360" w:lineRule="auto"/>
        <w:ind w:firstLine="720"/>
        <w:rPr>
          <w:rFonts w:ascii="Times New Roman" w:hAnsi="Times New Roman" w:cs="Times New Roman"/>
        </w:rPr>
      </w:pPr>
      <w:r>
        <w:rPr>
          <w:rFonts w:ascii="Times New Roman" w:hAnsi="Times New Roman" w:cs="Times New Roman"/>
        </w:rPr>
        <w:t xml:space="preserve">Cognitive and affective aspects have been analysed together to determine the dominating aspect on SWB. Blore, Mellor, Firth and Cummins (2010) and Davern, Cummins and Stokes (2007) present two articles that compared the impact of affective and cognitive models on SWB. </w:t>
      </w:r>
      <w:r w:rsidRPr="000A599A">
        <w:rPr>
          <w:rFonts w:ascii="Times New Roman" w:hAnsi="Times New Roman" w:cs="Times New Roman"/>
          <w:color w:val="FF0000"/>
        </w:rPr>
        <w:t xml:space="preserve">Blore et al. (2011) </w:t>
      </w:r>
      <w:r w:rsidRPr="005E7515">
        <w:rPr>
          <w:rFonts w:ascii="Times New Roman" w:hAnsi="Times New Roman" w:cs="Times New Roman"/>
        </w:rPr>
        <w:t>assessed MDT against affective models of SWB and found a solely affecti</w:t>
      </w:r>
      <w:r>
        <w:rPr>
          <w:rFonts w:ascii="Times New Roman" w:hAnsi="Times New Roman" w:cs="Times New Roman"/>
        </w:rPr>
        <w:t>ve model produced the best fit</w:t>
      </w:r>
      <w:r w:rsidRPr="005E7515">
        <w:rPr>
          <w:rFonts w:ascii="Times New Roman" w:hAnsi="Times New Roman" w:cs="Times New Roman"/>
        </w:rPr>
        <w:t>, accounting for 66% of the variance within SWB.</w:t>
      </w:r>
      <w:r>
        <w:rPr>
          <w:rFonts w:ascii="Times New Roman" w:hAnsi="Times New Roman" w:cs="Times New Roman"/>
        </w:rPr>
        <w:t xml:space="preserve">  Davern et al. </w:t>
      </w:r>
      <w:r w:rsidRPr="005E7515">
        <w:rPr>
          <w:rFonts w:ascii="Times New Roman" w:hAnsi="Times New Roman" w:cs="Times New Roman"/>
        </w:rPr>
        <w:t xml:space="preserve">(2007) </w:t>
      </w:r>
      <w:r>
        <w:rPr>
          <w:rFonts w:ascii="Times New Roman" w:hAnsi="Times New Roman" w:cs="Times New Roman"/>
        </w:rPr>
        <w:t xml:space="preserve">presented an affective-cognitive model on SWB, </w:t>
      </w:r>
      <w:r w:rsidRPr="005E7515">
        <w:rPr>
          <w:rFonts w:ascii="Times New Roman" w:hAnsi="Times New Roman" w:cs="Times New Roman"/>
        </w:rPr>
        <w:t>present</w:t>
      </w:r>
      <w:r>
        <w:rPr>
          <w:rFonts w:ascii="Times New Roman" w:hAnsi="Times New Roman" w:cs="Times New Roman"/>
        </w:rPr>
        <w:t>ing the</w:t>
      </w:r>
      <w:r w:rsidRPr="005E7515">
        <w:rPr>
          <w:rFonts w:ascii="Times New Roman" w:hAnsi="Times New Roman" w:cs="Times New Roman"/>
        </w:rPr>
        <w:t xml:space="preserve"> affect component </w:t>
      </w:r>
      <w:r>
        <w:rPr>
          <w:rFonts w:ascii="Times New Roman" w:hAnsi="Times New Roman" w:cs="Times New Roman"/>
        </w:rPr>
        <w:t xml:space="preserve">as </w:t>
      </w:r>
      <w:r w:rsidRPr="005E7515">
        <w:rPr>
          <w:rFonts w:ascii="Times New Roman" w:hAnsi="Times New Roman" w:cs="Times New Roman"/>
        </w:rPr>
        <w:t>core a</w:t>
      </w:r>
      <w:r>
        <w:rPr>
          <w:rFonts w:ascii="Times New Roman" w:hAnsi="Times New Roman" w:cs="Times New Roman"/>
        </w:rPr>
        <w:t>ffect while the cognitive aspect would relate</w:t>
      </w:r>
      <w:r w:rsidRPr="005E7515">
        <w:rPr>
          <w:rFonts w:ascii="Times New Roman" w:hAnsi="Times New Roman" w:cs="Times New Roman"/>
        </w:rPr>
        <w:t xml:space="preserve"> to </w:t>
      </w:r>
      <w:r>
        <w:rPr>
          <w:rFonts w:ascii="Times New Roman" w:hAnsi="Times New Roman" w:cs="Times New Roman"/>
        </w:rPr>
        <w:t>MDT, where 90% of the variance in SWB was explained by these two aspects. Core a</w:t>
      </w:r>
      <w:r w:rsidRPr="005E7515">
        <w:rPr>
          <w:rFonts w:ascii="Times New Roman" w:hAnsi="Times New Roman" w:cs="Times New Roman"/>
        </w:rPr>
        <w:t>ffect was the stronge</w:t>
      </w:r>
      <w:r>
        <w:rPr>
          <w:rFonts w:ascii="Times New Roman" w:hAnsi="Times New Roman" w:cs="Times New Roman"/>
        </w:rPr>
        <w:t xml:space="preserve">st predictor of SWB in these studies (Davern et al., 2007; </w:t>
      </w:r>
      <w:r w:rsidRPr="000A599A">
        <w:rPr>
          <w:rFonts w:ascii="Times New Roman" w:hAnsi="Times New Roman" w:cs="Times New Roman"/>
          <w:color w:val="FF0000"/>
        </w:rPr>
        <w:t>Stokes et al., 2011</w:t>
      </w:r>
      <w:r>
        <w:rPr>
          <w:rFonts w:ascii="Times New Roman" w:hAnsi="Times New Roman" w:cs="Times New Roman"/>
        </w:rPr>
        <w:t>) demonstrating the large impact of affect.</w:t>
      </w:r>
    </w:p>
    <w:p w:rsidR="00805261" w:rsidRPr="00A624D6" w:rsidRDefault="00805261" w:rsidP="00805261">
      <w:pPr>
        <w:spacing w:after="240" w:line="360" w:lineRule="auto"/>
        <w:rPr>
          <w:rFonts w:ascii="Times New Roman" w:hAnsi="Times New Roman" w:cs="Times New Roman"/>
          <w:b/>
        </w:rPr>
      </w:pPr>
      <w:r>
        <w:rPr>
          <w:rFonts w:ascii="Times New Roman" w:hAnsi="Times New Roman" w:cs="Times New Roman"/>
          <w:b/>
        </w:rPr>
        <w:t>1.2 Elements</w:t>
      </w:r>
      <w:r w:rsidRPr="00A624D6">
        <w:rPr>
          <w:rFonts w:ascii="Times New Roman" w:hAnsi="Times New Roman" w:cs="Times New Roman"/>
          <w:b/>
        </w:rPr>
        <w:t xml:space="preserve"> of </w:t>
      </w:r>
      <w:r>
        <w:rPr>
          <w:rFonts w:ascii="Times New Roman" w:hAnsi="Times New Roman" w:cs="Times New Roman"/>
          <w:b/>
        </w:rPr>
        <w:t>SWB</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Following the deconstruction of SWB, certain assets have been explored in scientific literature, with the terms stable and positive commonly referred to as elements of SWB (Cummins, 2010)</w:t>
      </w:r>
      <w:r w:rsidRPr="00FA54B3">
        <w:rPr>
          <w:rFonts w:ascii="Times New Roman" w:hAnsi="Times New Roman" w:cs="Times New Roman"/>
        </w:rPr>
        <w:t xml:space="preserve">. One of the most influential papers in the research of happiness has been Brickman, Coates and Janoff-Bulman’s (1978) article on the </w:t>
      </w:r>
      <w:r>
        <w:rPr>
          <w:rFonts w:ascii="Times New Roman" w:hAnsi="Times New Roman" w:cs="Times New Roman"/>
        </w:rPr>
        <w:t>SWB</w:t>
      </w:r>
      <w:r w:rsidRPr="00FA54B3">
        <w:rPr>
          <w:rFonts w:ascii="Times New Roman" w:hAnsi="Times New Roman" w:cs="Times New Roman"/>
        </w:rPr>
        <w:t xml:space="preserve"> levels of lottery </w:t>
      </w:r>
      <w:r w:rsidRPr="00B733CB">
        <w:rPr>
          <w:rFonts w:ascii="Times New Roman" w:hAnsi="Times New Roman" w:cs="Times New Roman"/>
        </w:rPr>
        <w:t xml:space="preserve">winners and accident victims. </w:t>
      </w:r>
      <w:r>
        <w:rPr>
          <w:rFonts w:ascii="Times New Roman" w:hAnsi="Times New Roman" w:cs="Times New Roman"/>
        </w:rPr>
        <w:t>A</w:t>
      </w:r>
      <w:r w:rsidRPr="00B733CB">
        <w:rPr>
          <w:rFonts w:ascii="Times New Roman" w:hAnsi="Times New Roman" w:cs="Times New Roman"/>
        </w:rPr>
        <w:t>lthough many individuals before this study would have probably believed that lottery winners would be happier t</w:t>
      </w:r>
      <w:r>
        <w:rPr>
          <w:rFonts w:ascii="Times New Roman" w:hAnsi="Times New Roman" w:cs="Times New Roman"/>
        </w:rPr>
        <w:t>han paralysed accident victims, levels of SWB</w:t>
      </w:r>
      <w:r w:rsidRPr="00B733CB">
        <w:rPr>
          <w:rFonts w:ascii="Times New Roman" w:hAnsi="Times New Roman" w:cs="Times New Roman"/>
        </w:rPr>
        <w:t xml:space="preserve"> were fairly similar</w:t>
      </w:r>
      <w:r>
        <w:rPr>
          <w:rFonts w:ascii="Times New Roman" w:hAnsi="Times New Roman" w:cs="Times New Roman"/>
        </w:rPr>
        <w:t xml:space="preserve"> </w:t>
      </w:r>
      <w:r w:rsidRPr="00B733CB">
        <w:rPr>
          <w:rFonts w:ascii="Times New Roman" w:hAnsi="Times New Roman" w:cs="Times New Roman"/>
        </w:rPr>
        <w:t xml:space="preserve">across both </w:t>
      </w:r>
      <w:r>
        <w:rPr>
          <w:rFonts w:ascii="Times New Roman" w:hAnsi="Times New Roman" w:cs="Times New Roman"/>
        </w:rPr>
        <w:t>groups.</w:t>
      </w:r>
    </w:p>
    <w:p w:rsidR="00805261" w:rsidRDefault="00805261" w:rsidP="00805261">
      <w:pPr>
        <w:spacing w:after="240" w:line="360" w:lineRule="auto"/>
        <w:rPr>
          <w:rFonts w:ascii="Times New Roman" w:hAnsi="Times New Roman" w:cs="Times New Roman"/>
        </w:rPr>
      </w:pPr>
      <w:r w:rsidRPr="004D2F73">
        <w:rPr>
          <w:rFonts w:ascii="Times New Roman" w:hAnsi="Times New Roman" w:cs="Times New Roman"/>
        </w:rPr>
        <w:tab/>
      </w:r>
      <w:r>
        <w:rPr>
          <w:rFonts w:ascii="Times New Roman" w:hAnsi="Times New Roman" w:cs="Times New Roman"/>
        </w:rPr>
        <w:t xml:space="preserve">Brickman’s et al. </w:t>
      </w:r>
      <w:r w:rsidRPr="004D2F73">
        <w:rPr>
          <w:rFonts w:ascii="Times New Roman" w:hAnsi="Times New Roman" w:cs="Times New Roman"/>
        </w:rPr>
        <w:t>(1978)</w:t>
      </w:r>
      <w:r>
        <w:rPr>
          <w:rFonts w:ascii="Times New Roman" w:hAnsi="Times New Roman" w:cs="Times New Roman"/>
        </w:rPr>
        <w:t xml:space="preserve"> study demonstrates</w:t>
      </w:r>
      <w:r w:rsidRPr="004D2F73">
        <w:rPr>
          <w:rFonts w:ascii="Times New Roman" w:hAnsi="Times New Roman" w:cs="Times New Roman"/>
        </w:rPr>
        <w:t xml:space="preserve"> that individuals typically have a stable level of SWB that may fluctuate</w:t>
      </w:r>
      <w:r>
        <w:rPr>
          <w:rFonts w:ascii="Times New Roman" w:hAnsi="Times New Roman" w:cs="Times New Roman"/>
        </w:rPr>
        <w:t xml:space="preserve">, but ultimately SWB returns </w:t>
      </w:r>
      <w:r w:rsidRPr="004D2F73">
        <w:rPr>
          <w:rFonts w:ascii="Times New Roman" w:hAnsi="Times New Roman" w:cs="Times New Roman"/>
        </w:rPr>
        <w:t>to a certain set-point (Cummins, 2010).</w:t>
      </w:r>
      <w:r>
        <w:rPr>
          <w:rFonts w:ascii="Times New Roman" w:hAnsi="Times New Roman" w:cs="Times New Roman"/>
        </w:rPr>
        <w:t xml:space="preserve"> Furthermore, </w:t>
      </w:r>
      <w:r w:rsidRPr="0078071A">
        <w:rPr>
          <w:rFonts w:ascii="Times New Roman" w:hAnsi="Times New Roman" w:cs="Times New Roman"/>
        </w:rPr>
        <w:t xml:space="preserve">SWB in </w:t>
      </w:r>
      <w:r>
        <w:rPr>
          <w:rFonts w:ascii="Times New Roman" w:hAnsi="Times New Roman" w:cs="Times New Roman"/>
        </w:rPr>
        <w:t xml:space="preserve">literature is seen to be </w:t>
      </w:r>
      <w:r w:rsidRPr="0078071A">
        <w:rPr>
          <w:rFonts w:ascii="Times New Roman" w:hAnsi="Times New Roman" w:cs="Times New Roman"/>
        </w:rPr>
        <w:t>positively skewe</w:t>
      </w:r>
      <w:r>
        <w:rPr>
          <w:rFonts w:ascii="Times New Roman" w:hAnsi="Times New Roman" w:cs="Times New Roman"/>
        </w:rPr>
        <w:t xml:space="preserve">d for a majority of individual. This is </w:t>
      </w:r>
      <w:r w:rsidRPr="00860F6F">
        <w:rPr>
          <w:rFonts w:ascii="Times New Roman" w:hAnsi="Times New Roman" w:cs="Times New Roman"/>
        </w:rPr>
        <w:t>due the role played by positive cognitive bias</w:t>
      </w:r>
      <w:r>
        <w:rPr>
          <w:rFonts w:ascii="Times New Roman" w:hAnsi="Times New Roman" w:cs="Times New Roman"/>
        </w:rPr>
        <w:t xml:space="preserve"> (Cummins &amp; Nistico, 2002) in which individuals tend to be cognitively favour positive information over negative information</w:t>
      </w:r>
      <w:r w:rsidRPr="00860F6F">
        <w:rPr>
          <w:rFonts w:ascii="Times New Roman" w:hAnsi="Times New Roman" w:cs="Times New Roman"/>
        </w:rPr>
        <w:t xml:space="preserve">. </w:t>
      </w:r>
    </w:p>
    <w:p w:rsidR="00805261" w:rsidRPr="005917AF" w:rsidRDefault="00805261" w:rsidP="00805261">
      <w:pPr>
        <w:spacing w:after="240" w:line="360" w:lineRule="auto"/>
        <w:rPr>
          <w:rFonts w:ascii="Times New Roman" w:hAnsi="Times New Roman" w:cs="Times New Roman"/>
          <w:b/>
        </w:rPr>
      </w:pPr>
      <w:r w:rsidRPr="005917AF">
        <w:rPr>
          <w:rFonts w:ascii="Times New Roman" w:hAnsi="Times New Roman" w:cs="Times New Roman"/>
          <w:b/>
        </w:rPr>
        <w:t xml:space="preserve">1.3 </w:t>
      </w:r>
      <w:r>
        <w:rPr>
          <w:rFonts w:ascii="Times New Roman" w:hAnsi="Times New Roman" w:cs="Times New Roman"/>
          <w:b/>
        </w:rPr>
        <w:t xml:space="preserve">Homeostatically Protected </w:t>
      </w:r>
      <w:r w:rsidRPr="005917AF">
        <w:rPr>
          <w:rFonts w:ascii="Times New Roman" w:hAnsi="Times New Roman" w:cs="Times New Roman"/>
          <w:b/>
        </w:rPr>
        <w:t>Mood</w:t>
      </w:r>
      <w:r>
        <w:rPr>
          <w:rFonts w:ascii="Times New Roman" w:hAnsi="Times New Roman" w:cs="Times New Roman"/>
          <w:b/>
        </w:rPr>
        <w:t xml:space="preserve"> (HPMood)</w:t>
      </w:r>
    </w:p>
    <w:p w:rsidR="00805261" w:rsidRPr="00E827D0" w:rsidRDefault="00805261" w:rsidP="00805261">
      <w:pPr>
        <w:spacing w:after="240" w:line="360" w:lineRule="auto"/>
        <w:ind w:firstLine="720"/>
        <w:rPr>
          <w:rFonts w:ascii="Times New Roman" w:hAnsi="Times New Roman" w:cs="Times New Roman"/>
        </w:rPr>
      </w:pPr>
      <w:r>
        <w:rPr>
          <w:rFonts w:ascii="Times New Roman" w:hAnsi="Times New Roman" w:cs="Times New Roman"/>
        </w:rPr>
        <w:t xml:space="preserve">A comprehensive theory of SWB which explains its stability and positivity is </w:t>
      </w:r>
      <w:r w:rsidRPr="00E827D0">
        <w:rPr>
          <w:rFonts w:ascii="Times New Roman" w:hAnsi="Times New Roman" w:cs="Times New Roman"/>
        </w:rPr>
        <w:t>Homeostasis theory</w:t>
      </w:r>
      <w:r>
        <w:rPr>
          <w:rFonts w:ascii="Times New Roman" w:hAnsi="Times New Roman" w:cs="Times New Roman"/>
        </w:rPr>
        <w:t xml:space="preserve"> of wellbeing</w:t>
      </w:r>
      <w:r w:rsidRPr="00E827D0">
        <w:rPr>
          <w:rFonts w:ascii="Times New Roman" w:hAnsi="Times New Roman" w:cs="Times New Roman"/>
        </w:rPr>
        <w:t xml:space="preserve"> (Cummins, 2010).</w:t>
      </w:r>
      <w:r w:rsidRPr="00A12310">
        <w:rPr>
          <w:rFonts w:ascii="Times New Roman" w:hAnsi="Times New Roman" w:cs="Times New Roman"/>
        </w:rPr>
        <w:t xml:space="preserve"> </w:t>
      </w:r>
      <w:r>
        <w:rPr>
          <w:rFonts w:ascii="Times New Roman" w:hAnsi="Times New Roman" w:cs="Times New Roman"/>
        </w:rPr>
        <w:t xml:space="preserve">This theory proposes that each individual has a stable level of wellbeing which is maintained through internal psychological mechanisms (Cummins, 2010). Although life events may affect an individual’s SWB level, it is only temporary and the homeostasis theory proposes that SWB will ultimately return to its set-point. Within the context of homeostasis, it is argued that this set-point under defence is a core positive mood. Originally, this core positive mood was conceptualised as core affect (Russell, 2003), but was later redefined as </w:t>
      </w:r>
      <w:r w:rsidRPr="00E827D0">
        <w:rPr>
          <w:rFonts w:ascii="Times New Roman" w:hAnsi="Times New Roman" w:cs="Times New Roman"/>
        </w:rPr>
        <w:t>Homeostat</w:t>
      </w:r>
      <w:r>
        <w:rPr>
          <w:rFonts w:ascii="Times New Roman" w:hAnsi="Times New Roman" w:cs="Times New Roman"/>
        </w:rPr>
        <w:t xml:space="preserve">ically Protected Mood (HPMood; </w:t>
      </w:r>
      <w:r w:rsidRPr="00E827D0">
        <w:rPr>
          <w:rFonts w:ascii="Times New Roman" w:hAnsi="Times New Roman" w:cs="Times New Roman"/>
        </w:rPr>
        <w:t>Cummins, 2010</w:t>
      </w:r>
      <w:r>
        <w:rPr>
          <w:rFonts w:ascii="Times New Roman" w:hAnsi="Times New Roman" w:cs="Times New Roman"/>
        </w:rPr>
        <w:t>). HPMood, is predefined for individuals, reflecting a stable positive level of SWB defined by genetics (Cummins, 2010; Cummins, Li, Wooden, Stokes, 2014).</w:t>
      </w:r>
    </w:p>
    <w:p w:rsidR="00805261" w:rsidRPr="005917AF" w:rsidRDefault="00805261" w:rsidP="00805261">
      <w:pPr>
        <w:spacing w:after="240" w:line="360" w:lineRule="auto"/>
        <w:jc w:val="center"/>
        <w:rPr>
          <w:rFonts w:ascii="Times New Roman" w:hAnsi="Times New Roman" w:cs="Times New Roman"/>
          <w:b/>
        </w:rPr>
      </w:pPr>
      <w:r>
        <w:rPr>
          <w:rFonts w:ascii="Times New Roman" w:hAnsi="Times New Roman" w:cs="Times New Roman"/>
          <w:b/>
        </w:rPr>
        <w:t>2</w:t>
      </w:r>
      <w:r w:rsidRPr="005917AF">
        <w:rPr>
          <w:rFonts w:ascii="Times New Roman" w:hAnsi="Times New Roman" w:cs="Times New Roman"/>
          <w:b/>
        </w:rPr>
        <w:t xml:space="preserve">. Measuring </w:t>
      </w:r>
      <w:r>
        <w:rPr>
          <w:rFonts w:ascii="Times New Roman" w:hAnsi="Times New Roman" w:cs="Times New Roman"/>
          <w:b/>
        </w:rPr>
        <w:t>SWB</w:t>
      </w:r>
    </w:p>
    <w:p w:rsidR="00805261" w:rsidRPr="004E57B7" w:rsidRDefault="00805261" w:rsidP="00805261">
      <w:pPr>
        <w:spacing w:after="240" w:line="360" w:lineRule="auto"/>
        <w:ind w:firstLine="720"/>
        <w:rPr>
          <w:rFonts w:ascii="Times New Roman" w:hAnsi="Times New Roman" w:cs="Times New Roman"/>
          <w:color w:val="FF0000"/>
        </w:rPr>
      </w:pPr>
      <w:r>
        <w:rPr>
          <w:rFonts w:ascii="Times New Roman" w:hAnsi="Times New Roman" w:cs="Times New Roman"/>
        </w:rPr>
        <w:t>SWB</w:t>
      </w:r>
      <w:r w:rsidRPr="0078071A">
        <w:rPr>
          <w:rFonts w:ascii="Times New Roman" w:hAnsi="Times New Roman" w:cs="Times New Roman"/>
        </w:rPr>
        <w:t>, by definition, renders objective accoun</w:t>
      </w:r>
      <w:r>
        <w:rPr>
          <w:rFonts w:ascii="Times New Roman" w:hAnsi="Times New Roman" w:cs="Times New Roman"/>
        </w:rPr>
        <w:t>ts of the construct inaccurate.</w:t>
      </w:r>
      <w:r w:rsidRPr="0078071A">
        <w:rPr>
          <w:rFonts w:ascii="Times New Roman" w:hAnsi="Times New Roman" w:cs="Times New Roman"/>
        </w:rPr>
        <w:t xml:space="preserve"> Brickman</w:t>
      </w:r>
      <w:r>
        <w:rPr>
          <w:rFonts w:ascii="Times New Roman" w:hAnsi="Times New Roman" w:cs="Times New Roman"/>
        </w:rPr>
        <w:t xml:space="preserve"> et al.</w:t>
      </w:r>
      <w:r w:rsidRPr="0078071A">
        <w:rPr>
          <w:rFonts w:ascii="Times New Roman" w:hAnsi="Times New Roman" w:cs="Times New Roman"/>
        </w:rPr>
        <w:t xml:space="preserve"> (1978) contrast</w:t>
      </w:r>
      <w:r>
        <w:rPr>
          <w:rFonts w:ascii="Times New Roman" w:hAnsi="Times New Roman" w:cs="Times New Roman"/>
        </w:rPr>
        <w:t>ed</w:t>
      </w:r>
      <w:r w:rsidRPr="0078071A">
        <w:rPr>
          <w:rFonts w:ascii="Times New Roman" w:hAnsi="Times New Roman" w:cs="Times New Roman"/>
        </w:rPr>
        <w:t xml:space="preserve"> two groups, lottery winners and accident victim</w:t>
      </w:r>
      <w:r>
        <w:rPr>
          <w:rFonts w:ascii="Times New Roman" w:hAnsi="Times New Roman" w:cs="Times New Roman"/>
        </w:rPr>
        <w:t>s</w:t>
      </w:r>
      <w:r w:rsidRPr="0078071A">
        <w:rPr>
          <w:rFonts w:ascii="Times New Roman" w:hAnsi="Times New Roman" w:cs="Times New Roman"/>
        </w:rPr>
        <w:t>, who might be objectively considered to have different levels of wellbeing</w:t>
      </w:r>
      <w:r>
        <w:rPr>
          <w:rFonts w:ascii="Times New Roman" w:hAnsi="Times New Roman" w:cs="Times New Roman"/>
        </w:rPr>
        <w:t>, with lottery winders higher on wellbeing</w:t>
      </w:r>
      <w:r w:rsidRPr="0078071A">
        <w:rPr>
          <w:rFonts w:ascii="Times New Roman" w:hAnsi="Times New Roman" w:cs="Times New Roman"/>
        </w:rPr>
        <w:t>. This was not the case, as the study found similar levels of wellbeing between the groups. With the rating of others, individuals tend to overemphasise objective indicators, while underemphasising the individual’s subjective reaction to their situation. A number of measures of wellbeing attempt to capture this subjectivity, therefore when self-report measures are used, it is important to determine whether</w:t>
      </w:r>
      <w:r>
        <w:rPr>
          <w:rFonts w:ascii="Times New Roman" w:hAnsi="Times New Roman" w:cs="Times New Roman"/>
        </w:rPr>
        <w:t xml:space="preserve"> they are valid and reliable.</w:t>
      </w:r>
    </w:p>
    <w:p w:rsidR="00805261" w:rsidRPr="006B7BD7" w:rsidRDefault="00805261" w:rsidP="00805261">
      <w:pPr>
        <w:spacing w:after="240" w:line="360" w:lineRule="auto"/>
        <w:ind w:firstLine="720"/>
        <w:rPr>
          <w:rFonts w:ascii="Times New Roman" w:hAnsi="Times New Roman" w:cs="Times New Roman"/>
        </w:rPr>
      </w:pPr>
      <w:r>
        <w:rPr>
          <w:rFonts w:ascii="Times New Roman" w:hAnsi="Times New Roman" w:cs="Times New Roman"/>
        </w:rPr>
        <w:t>One popular method of measuring SWB</w:t>
      </w:r>
      <w:r w:rsidRPr="005E4CEE">
        <w:rPr>
          <w:rFonts w:ascii="Times New Roman" w:hAnsi="Times New Roman" w:cs="Times New Roman"/>
        </w:rPr>
        <w:t xml:space="preserve"> in</w:t>
      </w:r>
      <w:r>
        <w:rPr>
          <w:rFonts w:ascii="Times New Roman" w:hAnsi="Times New Roman" w:cs="Times New Roman"/>
        </w:rPr>
        <w:t>volves</w:t>
      </w:r>
      <w:r w:rsidRPr="005E4CEE">
        <w:rPr>
          <w:rFonts w:ascii="Times New Roman" w:hAnsi="Times New Roman" w:cs="Times New Roman"/>
        </w:rPr>
        <w:t xml:space="preserve"> reconstructing a day’s events by way of a diary or record. The Day </w:t>
      </w:r>
      <w:r w:rsidRPr="004B6054">
        <w:rPr>
          <w:rFonts w:ascii="Times New Roman" w:hAnsi="Times New Roman" w:cs="Times New Roman"/>
        </w:rPr>
        <w:t>Reconstruction Method (DRM; Kahneman, Krueger, Schkade, Schwarz, &amp; Stone, 2004) is an assessment tool in which individuals reconstruct their day a</w:t>
      </w:r>
      <w:r>
        <w:rPr>
          <w:rFonts w:ascii="Times New Roman" w:hAnsi="Times New Roman" w:cs="Times New Roman"/>
        </w:rPr>
        <w:t xml:space="preserve">fter it has occurred. </w:t>
      </w:r>
      <w:r w:rsidRPr="004B6054">
        <w:rPr>
          <w:rFonts w:ascii="Times New Roman" w:hAnsi="Times New Roman" w:cs="Times New Roman"/>
        </w:rPr>
        <w:t xml:space="preserve">This tool does have its weaknesses, particularly that perceptions </w:t>
      </w:r>
      <w:r w:rsidRPr="008354A6">
        <w:rPr>
          <w:rFonts w:ascii="Times New Roman" w:hAnsi="Times New Roman" w:cs="Times New Roman"/>
        </w:rPr>
        <w:t xml:space="preserve">of the past </w:t>
      </w:r>
      <w:r>
        <w:rPr>
          <w:rFonts w:ascii="Times New Roman" w:hAnsi="Times New Roman" w:cs="Times New Roman"/>
        </w:rPr>
        <w:t>are</w:t>
      </w:r>
      <w:r w:rsidRPr="008354A6">
        <w:rPr>
          <w:rFonts w:ascii="Times New Roman" w:hAnsi="Times New Roman" w:cs="Times New Roman"/>
        </w:rPr>
        <w:t xml:space="preserve"> vulnerable to biases</w:t>
      </w:r>
      <w:r>
        <w:rPr>
          <w:rFonts w:ascii="Times New Roman" w:hAnsi="Times New Roman" w:cs="Times New Roman"/>
        </w:rPr>
        <w:t>. Two such biases include</w:t>
      </w:r>
      <w:r w:rsidRPr="008354A6">
        <w:rPr>
          <w:rFonts w:ascii="Times New Roman" w:hAnsi="Times New Roman" w:cs="Times New Roman"/>
        </w:rPr>
        <w:t xml:space="preserve"> self-deception</w:t>
      </w:r>
      <w:r>
        <w:rPr>
          <w:rFonts w:ascii="Times New Roman" w:hAnsi="Times New Roman" w:cs="Times New Roman"/>
        </w:rPr>
        <w:t xml:space="preserve"> which describes how</w:t>
      </w:r>
      <w:r w:rsidRPr="008354A6">
        <w:rPr>
          <w:rFonts w:ascii="Times New Roman" w:hAnsi="Times New Roman" w:cs="Times New Roman"/>
        </w:rPr>
        <w:t xml:space="preserve"> </w:t>
      </w:r>
      <w:r>
        <w:rPr>
          <w:rFonts w:ascii="Times New Roman" w:hAnsi="Times New Roman" w:cs="Times New Roman"/>
        </w:rPr>
        <w:t>i</w:t>
      </w:r>
      <w:r w:rsidRPr="008354A6">
        <w:rPr>
          <w:rFonts w:ascii="Times New Roman" w:hAnsi="Times New Roman" w:cs="Times New Roman"/>
        </w:rPr>
        <w:t>ndividuals are likely to reinterpret events that occurred in the past into a way which is self-serving</w:t>
      </w:r>
      <w:r>
        <w:rPr>
          <w:rFonts w:ascii="Times New Roman" w:hAnsi="Times New Roman" w:cs="Times New Roman"/>
        </w:rPr>
        <w:t xml:space="preserve"> and positive recall bias</w:t>
      </w:r>
      <w:r w:rsidRPr="008354A6">
        <w:rPr>
          <w:rFonts w:ascii="Times New Roman" w:hAnsi="Times New Roman" w:cs="Times New Roman"/>
        </w:rPr>
        <w:t xml:space="preserve"> </w:t>
      </w:r>
      <w:r>
        <w:rPr>
          <w:rFonts w:ascii="Times New Roman" w:hAnsi="Times New Roman" w:cs="Times New Roman"/>
        </w:rPr>
        <w:t xml:space="preserve">in which individuals tend to focus on and thus more likely to recall positive compared to negative information </w:t>
      </w:r>
      <w:r w:rsidRPr="008354A6">
        <w:rPr>
          <w:rFonts w:ascii="Times New Roman" w:hAnsi="Times New Roman" w:cs="Times New Roman"/>
        </w:rPr>
        <w:t>(Robinson &amp; Ryff, 1999)</w:t>
      </w:r>
      <w:r>
        <w:rPr>
          <w:rFonts w:ascii="Times New Roman" w:hAnsi="Times New Roman" w:cs="Times New Roman"/>
        </w:rPr>
        <w:t xml:space="preserve">. Although DRM has the advantages of providing detailed accounts of the day and the affective experiences in response, the potential for bias casts doubt on its reliability. </w:t>
      </w:r>
    </w:p>
    <w:p w:rsidR="00805261" w:rsidRPr="006B7BD7" w:rsidRDefault="00805261" w:rsidP="00805261">
      <w:pPr>
        <w:spacing w:after="240" w:line="360" w:lineRule="auto"/>
        <w:ind w:firstLine="720"/>
        <w:rPr>
          <w:rFonts w:ascii="Times New Roman" w:hAnsi="Times New Roman" w:cs="Times New Roman"/>
        </w:rPr>
      </w:pPr>
      <w:r>
        <w:rPr>
          <w:rFonts w:ascii="Times New Roman" w:hAnsi="Times New Roman" w:cs="Times New Roman"/>
        </w:rPr>
        <w:t>A</w:t>
      </w:r>
      <w:r w:rsidRPr="006B7BD7">
        <w:rPr>
          <w:rFonts w:ascii="Times New Roman" w:hAnsi="Times New Roman" w:cs="Times New Roman"/>
        </w:rPr>
        <w:t xml:space="preserve"> more common </w:t>
      </w:r>
      <w:r>
        <w:rPr>
          <w:rFonts w:ascii="Times New Roman" w:hAnsi="Times New Roman" w:cs="Times New Roman"/>
        </w:rPr>
        <w:t xml:space="preserve">and convenient </w:t>
      </w:r>
      <w:r w:rsidRPr="006B7BD7">
        <w:rPr>
          <w:rFonts w:ascii="Times New Roman" w:hAnsi="Times New Roman" w:cs="Times New Roman"/>
        </w:rPr>
        <w:t xml:space="preserve">way to measure SWB is via questionnaires/self-reports. Two primary scales include The Satisfaction with Life Scale developed by Diener, Emmons, Larsen and Griffin (1985) and the Personal Wellbeing Index developed by the International Wellbeing Group (2013). These scales involve asking how satisfied individuals </w:t>
      </w:r>
      <w:r w:rsidRPr="003A5C76">
        <w:rPr>
          <w:rFonts w:ascii="Times New Roman" w:hAnsi="Times New Roman" w:cs="Times New Roman"/>
        </w:rPr>
        <w:t xml:space="preserve">are with their </w:t>
      </w:r>
      <w:r>
        <w:rPr>
          <w:rFonts w:ascii="Times New Roman" w:hAnsi="Times New Roman" w:cs="Times New Roman"/>
        </w:rPr>
        <w:t>lives</w:t>
      </w:r>
      <w:r w:rsidRPr="003A5C76">
        <w:rPr>
          <w:rFonts w:ascii="Times New Roman" w:hAnsi="Times New Roman" w:cs="Times New Roman"/>
        </w:rPr>
        <w:t xml:space="preserve"> to measure the</w:t>
      </w:r>
      <w:r>
        <w:rPr>
          <w:rFonts w:ascii="Times New Roman" w:hAnsi="Times New Roman" w:cs="Times New Roman"/>
        </w:rPr>
        <w:t xml:space="preserve"> aspects</w:t>
      </w:r>
      <w:r w:rsidRPr="003A5C76">
        <w:rPr>
          <w:rFonts w:ascii="Times New Roman" w:hAnsi="Times New Roman" w:cs="Times New Roman"/>
        </w:rPr>
        <w:t xml:space="preserve">: life satisfaction, positive </w:t>
      </w:r>
      <w:r>
        <w:rPr>
          <w:rFonts w:ascii="Times New Roman" w:hAnsi="Times New Roman" w:cs="Times New Roman"/>
        </w:rPr>
        <w:t>and negative affect (Diener et al.,</w:t>
      </w:r>
      <w:r w:rsidRPr="003A5C76">
        <w:rPr>
          <w:rFonts w:ascii="Times New Roman" w:hAnsi="Times New Roman" w:cs="Times New Roman"/>
        </w:rPr>
        <w:t xml:space="preserve"> 1985; International Wellbeing Group, 2013).</w:t>
      </w:r>
      <w:r>
        <w:rPr>
          <w:rFonts w:ascii="Times New Roman" w:hAnsi="Times New Roman" w:cs="Times New Roman"/>
        </w:rPr>
        <w:t xml:space="preserve"> The SWLS focuses on life satisfaction to capture the cognitive nature of the SWB while the PWI uses domain-specific measures to capture the affect nature.</w:t>
      </w:r>
    </w:p>
    <w:p w:rsidR="00805261" w:rsidRPr="00A624D6" w:rsidRDefault="00805261" w:rsidP="00805261">
      <w:pPr>
        <w:spacing w:after="240" w:line="360" w:lineRule="auto"/>
        <w:rPr>
          <w:rFonts w:ascii="Times New Roman" w:hAnsi="Times New Roman" w:cs="Times New Roman"/>
          <w:b/>
        </w:rPr>
      </w:pPr>
      <w:r>
        <w:rPr>
          <w:rFonts w:ascii="Times New Roman" w:hAnsi="Times New Roman" w:cs="Times New Roman"/>
          <w:b/>
        </w:rPr>
        <w:t>2</w:t>
      </w:r>
      <w:r w:rsidRPr="00A624D6">
        <w:rPr>
          <w:rFonts w:ascii="Times New Roman" w:hAnsi="Times New Roman" w:cs="Times New Roman"/>
          <w:b/>
        </w:rPr>
        <w:t>.1 Satisfaction with Life Scale (SWLS)</w:t>
      </w:r>
    </w:p>
    <w:p w:rsidR="00805261" w:rsidRPr="005917AF" w:rsidRDefault="00805261" w:rsidP="00805261">
      <w:pPr>
        <w:spacing w:after="240" w:line="360" w:lineRule="auto"/>
        <w:ind w:firstLine="720"/>
        <w:rPr>
          <w:rFonts w:ascii="Times New Roman" w:hAnsi="Times New Roman" w:cs="Times New Roman"/>
        </w:rPr>
      </w:pPr>
      <w:r w:rsidRPr="006B7BD7">
        <w:rPr>
          <w:rFonts w:ascii="Times New Roman" w:hAnsi="Times New Roman" w:cs="Times New Roman"/>
        </w:rPr>
        <w:t>The Satisfaction with Life Scale (SWLS</w:t>
      </w:r>
      <w:r>
        <w:rPr>
          <w:rFonts w:ascii="Times New Roman" w:hAnsi="Times New Roman" w:cs="Times New Roman"/>
        </w:rPr>
        <w:t>; Diener et al., 1985</w:t>
      </w:r>
      <w:r w:rsidRPr="006B7BD7">
        <w:rPr>
          <w:rFonts w:ascii="Times New Roman" w:hAnsi="Times New Roman" w:cs="Times New Roman"/>
        </w:rPr>
        <w:t xml:space="preserve">) </w:t>
      </w:r>
      <w:r>
        <w:rPr>
          <w:rFonts w:ascii="Times New Roman" w:hAnsi="Times New Roman" w:cs="Times New Roman"/>
        </w:rPr>
        <w:t>is</w:t>
      </w:r>
      <w:r w:rsidRPr="006B7BD7">
        <w:rPr>
          <w:rFonts w:ascii="Times New Roman" w:hAnsi="Times New Roman" w:cs="Times New Roman"/>
        </w:rPr>
        <w:t xml:space="preserve"> a popular scale used for measuring</w:t>
      </w:r>
      <w:r>
        <w:rPr>
          <w:rFonts w:ascii="Times New Roman" w:hAnsi="Times New Roman" w:cs="Times New Roman"/>
        </w:rPr>
        <w:t xml:space="preserve"> the wellbeing of an individual</w:t>
      </w:r>
      <w:r w:rsidRPr="006B7BD7">
        <w:rPr>
          <w:rFonts w:ascii="Times New Roman" w:hAnsi="Times New Roman" w:cs="Times New Roman"/>
        </w:rPr>
        <w:t xml:space="preserve">. The SWLS </w:t>
      </w:r>
      <w:r>
        <w:rPr>
          <w:rFonts w:ascii="Times New Roman" w:hAnsi="Times New Roman" w:cs="Times New Roman"/>
        </w:rPr>
        <w:t>is</w:t>
      </w:r>
      <w:r w:rsidRPr="006B7BD7">
        <w:rPr>
          <w:rFonts w:ascii="Times New Roman" w:hAnsi="Times New Roman" w:cs="Times New Roman"/>
        </w:rPr>
        <w:t xml:space="preserve"> a five item questionnaire focusing on overall cognitive judgment</w:t>
      </w:r>
      <w:r>
        <w:rPr>
          <w:rFonts w:ascii="Times New Roman" w:hAnsi="Times New Roman" w:cs="Times New Roman"/>
        </w:rPr>
        <w:t xml:space="preserve">s of life satisfaction and discrepancies between </w:t>
      </w:r>
      <w:r w:rsidRPr="005917AF">
        <w:rPr>
          <w:rFonts w:ascii="Times New Roman" w:hAnsi="Times New Roman" w:cs="Times New Roman"/>
        </w:rPr>
        <w:t>individuals’ ideal and actual states</w:t>
      </w:r>
      <w:r>
        <w:rPr>
          <w:rFonts w:ascii="Times New Roman" w:hAnsi="Times New Roman" w:cs="Times New Roman"/>
        </w:rPr>
        <w:t xml:space="preserve"> (Diener et al., 1985). Respondents’ rate on a 7-</w:t>
      </w:r>
      <w:r w:rsidRPr="005917AF">
        <w:rPr>
          <w:rFonts w:ascii="Times New Roman" w:hAnsi="Times New Roman" w:cs="Times New Roman"/>
        </w:rPr>
        <w:t>point Likert sca</w:t>
      </w:r>
      <w:r>
        <w:rPr>
          <w:rFonts w:ascii="Times New Roman" w:hAnsi="Times New Roman" w:cs="Times New Roman"/>
        </w:rPr>
        <w:t xml:space="preserve">le how much they agree with the </w:t>
      </w:r>
      <w:r w:rsidRPr="005917AF">
        <w:rPr>
          <w:rFonts w:ascii="Times New Roman" w:hAnsi="Times New Roman" w:cs="Times New Roman"/>
        </w:rPr>
        <w:t xml:space="preserve">statements, 1 referring to strongly disagree and 7 referring to strongly agree. </w:t>
      </w:r>
    </w:p>
    <w:p w:rsidR="00805261" w:rsidRPr="005917AF" w:rsidRDefault="00805261" w:rsidP="00805261">
      <w:pPr>
        <w:tabs>
          <w:tab w:val="left" w:pos="870"/>
        </w:tabs>
        <w:spacing w:after="240" w:line="360" w:lineRule="auto"/>
        <w:rPr>
          <w:rFonts w:ascii="Times New Roman" w:hAnsi="Times New Roman" w:cs="Times New Roman"/>
          <w:b/>
        </w:rPr>
      </w:pPr>
      <w:r>
        <w:rPr>
          <w:rFonts w:ascii="Times New Roman" w:hAnsi="Times New Roman" w:cs="Times New Roman"/>
          <w:b/>
        </w:rPr>
        <w:t>2</w:t>
      </w:r>
      <w:r w:rsidRPr="005917AF">
        <w:rPr>
          <w:rFonts w:ascii="Times New Roman" w:hAnsi="Times New Roman" w:cs="Times New Roman"/>
          <w:b/>
        </w:rPr>
        <w:t>.2 Personal Wellbeing Index (PWI)</w:t>
      </w:r>
    </w:p>
    <w:p w:rsidR="00805261" w:rsidRPr="00A65DCE" w:rsidRDefault="00805261" w:rsidP="00805261">
      <w:pPr>
        <w:spacing w:after="240" w:line="360" w:lineRule="auto"/>
        <w:ind w:firstLine="720"/>
        <w:rPr>
          <w:rFonts w:ascii="Times New Roman" w:hAnsi="Times New Roman" w:cs="Times New Roman"/>
        </w:rPr>
      </w:pPr>
      <w:r>
        <w:rPr>
          <w:rFonts w:ascii="Times New Roman" w:hAnsi="Times New Roman" w:cs="Times New Roman"/>
        </w:rPr>
        <w:t>Another</w:t>
      </w:r>
      <w:r w:rsidRPr="00C20D00">
        <w:rPr>
          <w:rFonts w:ascii="Times New Roman" w:hAnsi="Times New Roman" w:cs="Times New Roman"/>
        </w:rPr>
        <w:t xml:space="preserve"> </w:t>
      </w:r>
      <w:r>
        <w:rPr>
          <w:rFonts w:ascii="Times New Roman" w:hAnsi="Times New Roman" w:cs="Times New Roman"/>
        </w:rPr>
        <w:t xml:space="preserve">self-report </w:t>
      </w:r>
      <w:r w:rsidRPr="00C20D00">
        <w:rPr>
          <w:rFonts w:ascii="Times New Roman" w:hAnsi="Times New Roman" w:cs="Times New Roman"/>
        </w:rPr>
        <w:t xml:space="preserve">questionnaire </w:t>
      </w:r>
      <w:r>
        <w:rPr>
          <w:rFonts w:ascii="Times New Roman" w:hAnsi="Times New Roman" w:cs="Times New Roman"/>
        </w:rPr>
        <w:t xml:space="preserve">designed to measure SWB is known as the Personal Wellbeing Index (PWI; see: </w:t>
      </w:r>
      <w:hyperlink r:id="rId9" w:history="1">
        <w:r w:rsidRPr="000A0E6B">
          <w:rPr>
            <w:rStyle w:val="Hyperlink"/>
            <w:rFonts w:ascii="Times New Roman" w:hAnsi="Times New Roman" w:cs="Times New Roman"/>
          </w:rPr>
          <w:t>http://www.deakin.edu.au/research/acqol/index.php</w:t>
        </w:r>
      </w:hyperlink>
      <w:r>
        <w:rPr>
          <w:rFonts w:ascii="Times New Roman" w:hAnsi="Times New Roman" w:cs="Times New Roman"/>
        </w:rPr>
        <w:t>). The PWI assesses</w:t>
      </w:r>
      <w:r w:rsidRPr="009D1E88">
        <w:rPr>
          <w:rFonts w:ascii="Times New Roman" w:hAnsi="Times New Roman" w:cs="Times New Roman"/>
        </w:rPr>
        <w:t xml:space="preserve"> an individual’s wellbeing by asking how satisfied an individual is with their life as a whole and</w:t>
      </w:r>
      <w:r>
        <w:rPr>
          <w:rFonts w:ascii="Times New Roman" w:hAnsi="Times New Roman" w:cs="Times New Roman"/>
        </w:rPr>
        <w:t xml:space="preserve"> with</w:t>
      </w:r>
      <w:r w:rsidRPr="009D1E88">
        <w:rPr>
          <w:rFonts w:ascii="Times New Roman" w:hAnsi="Times New Roman" w:cs="Times New Roman"/>
        </w:rPr>
        <w:t xml:space="preserve"> specific </w:t>
      </w:r>
      <w:r>
        <w:rPr>
          <w:rFonts w:ascii="Times New Roman" w:hAnsi="Times New Roman" w:cs="Times New Roman"/>
        </w:rPr>
        <w:t>life domains</w:t>
      </w:r>
      <w:r w:rsidRPr="009D1E88">
        <w:rPr>
          <w:rFonts w:ascii="Times New Roman" w:hAnsi="Times New Roman" w:cs="Times New Roman"/>
        </w:rPr>
        <w:t xml:space="preserve"> (Intern</w:t>
      </w:r>
      <w:r>
        <w:rPr>
          <w:rFonts w:ascii="Times New Roman" w:hAnsi="Times New Roman" w:cs="Times New Roman"/>
        </w:rPr>
        <w:t>ational Wellbeing Group, 2013). This scale is based on the Homeostasis theory of SWB where each individual has</w:t>
      </w:r>
      <w:r w:rsidRPr="009D1E88">
        <w:rPr>
          <w:rFonts w:ascii="Times New Roman" w:hAnsi="Times New Roman" w:cs="Times New Roman"/>
        </w:rPr>
        <w:t xml:space="preserve"> a</w:t>
      </w:r>
      <w:r>
        <w:rPr>
          <w:rFonts w:ascii="Times New Roman" w:hAnsi="Times New Roman" w:cs="Times New Roman"/>
        </w:rPr>
        <w:t>n innate</w:t>
      </w:r>
      <w:r w:rsidRPr="009D1E88">
        <w:rPr>
          <w:rFonts w:ascii="Times New Roman" w:hAnsi="Times New Roman" w:cs="Times New Roman"/>
        </w:rPr>
        <w:t xml:space="preserve"> predefined l</w:t>
      </w:r>
      <w:r>
        <w:rPr>
          <w:rFonts w:ascii="Times New Roman" w:hAnsi="Times New Roman" w:cs="Times New Roman"/>
        </w:rPr>
        <w:t>e</w:t>
      </w:r>
      <w:r w:rsidRPr="009D1E88">
        <w:rPr>
          <w:rFonts w:ascii="Times New Roman" w:hAnsi="Times New Roman" w:cs="Times New Roman"/>
        </w:rPr>
        <w:t>vel of SWB (Cummins, 2010</w:t>
      </w:r>
      <w:r>
        <w:rPr>
          <w:rFonts w:ascii="Times New Roman" w:hAnsi="Times New Roman" w:cs="Times New Roman"/>
        </w:rPr>
        <w:t>) which the</w:t>
      </w:r>
      <w:r w:rsidRPr="009D1E88">
        <w:rPr>
          <w:rFonts w:ascii="Times New Roman" w:hAnsi="Times New Roman" w:cs="Times New Roman"/>
        </w:rPr>
        <w:t xml:space="preserve"> PWI </w:t>
      </w:r>
      <w:r w:rsidRPr="001273F3">
        <w:rPr>
          <w:rFonts w:ascii="Times New Roman" w:hAnsi="Times New Roman" w:cs="Times New Roman"/>
        </w:rPr>
        <w:t>at</w:t>
      </w:r>
      <w:r>
        <w:rPr>
          <w:rFonts w:ascii="Times New Roman" w:hAnsi="Times New Roman" w:cs="Times New Roman"/>
        </w:rPr>
        <w:t>tempts to determine.</w:t>
      </w:r>
      <w:r w:rsidRPr="00A140BA">
        <w:rPr>
          <w:rFonts w:ascii="Times New Roman" w:hAnsi="Times New Roman" w:cs="Times New Roman"/>
        </w:rPr>
        <w:t xml:space="preserve"> </w:t>
      </w:r>
    </w:p>
    <w:p w:rsidR="00805261" w:rsidRPr="004B6054" w:rsidRDefault="00805261" w:rsidP="00805261">
      <w:pPr>
        <w:spacing w:after="240" w:line="360" w:lineRule="auto"/>
        <w:ind w:firstLine="720"/>
        <w:rPr>
          <w:rFonts w:ascii="Times New Roman" w:hAnsi="Times New Roman" w:cs="Times New Roman"/>
        </w:rPr>
      </w:pPr>
      <w:r w:rsidRPr="00A65DCE">
        <w:rPr>
          <w:rFonts w:ascii="Times New Roman" w:hAnsi="Times New Roman" w:cs="Times New Roman"/>
        </w:rPr>
        <w:t xml:space="preserve">The PWI uses eight questions to evaluate one’s level of SWB. The first question is considered separately to the others as it evaluates ‘global life satisfaction’. </w:t>
      </w:r>
      <w:r>
        <w:rPr>
          <w:rFonts w:ascii="Times New Roman" w:hAnsi="Times New Roman" w:cs="Times New Roman"/>
        </w:rPr>
        <w:t>The global life satisfaction question is useful, however the terms for satisfaction are not clearly defined, therefore including more specific questions pose well-defined criteria for the evaluation of wellbeing (Schwarz &amp; Strack, 1999). The PWI includes seven specific life domain questions in response to this</w:t>
      </w:r>
      <w:r w:rsidRPr="0078071A">
        <w:rPr>
          <w:rFonts w:ascii="Times New Roman" w:hAnsi="Times New Roman" w:cs="Times New Roman"/>
        </w:rPr>
        <w:t xml:space="preserve"> </w:t>
      </w:r>
      <w:r>
        <w:rPr>
          <w:rFonts w:ascii="Times New Roman" w:hAnsi="Times New Roman" w:cs="Times New Roman"/>
        </w:rPr>
        <w:t>referred to as the PWI items, which</w:t>
      </w:r>
      <w:r w:rsidRPr="001273F3">
        <w:rPr>
          <w:rFonts w:ascii="Times New Roman" w:hAnsi="Times New Roman" w:cs="Times New Roman"/>
        </w:rPr>
        <w:t xml:space="preserve"> evaluate life satisfaction </w:t>
      </w:r>
      <w:r>
        <w:rPr>
          <w:rFonts w:ascii="Times New Roman" w:hAnsi="Times New Roman" w:cs="Times New Roman"/>
        </w:rPr>
        <w:t>in specific domains and are able to deconstruct general life satisfaction.</w:t>
      </w:r>
      <w:r w:rsidRPr="001273F3">
        <w:rPr>
          <w:rFonts w:ascii="Times New Roman" w:hAnsi="Times New Roman" w:cs="Times New Roman"/>
        </w:rPr>
        <w:t xml:space="preserve"> </w:t>
      </w:r>
      <w:r w:rsidRPr="00A65DCE">
        <w:rPr>
          <w:rFonts w:ascii="Times New Roman" w:hAnsi="Times New Roman" w:cs="Times New Roman"/>
        </w:rPr>
        <w:t xml:space="preserve">These domains are: standard of living, health, achieving in life, personal relationships, personal safety, community-connectedness and future security (International Wellbeing Group, 2013). Participants respond to </w:t>
      </w:r>
      <w:r>
        <w:rPr>
          <w:rFonts w:ascii="Times New Roman" w:hAnsi="Times New Roman" w:cs="Times New Roman"/>
        </w:rPr>
        <w:t>each question using an 11-</w:t>
      </w:r>
      <w:r w:rsidRPr="00A65DCE">
        <w:rPr>
          <w:rFonts w:ascii="Times New Roman" w:hAnsi="Times New Roman" w:cs="Times New Roman"/>
        </w:rPr>
        <w:t xml:space="preserve">point Likert scale, with 0 referring to no satisfaction at all, and 10 </w:t>
      </w:r>
      <w:r w:rsidRPr="004B6054">
        <w:rPr>
          <w:rFonts w:ascii="Times New Roman" w:hAnsi="Times New Roman" w:cs="Times New Roman"/>
        </w:rPr>
        <w:t xml:space="preserve">referring to complete satisfaction. </w:t>
      </w:r>
    </w:p>
    <w:p w:rsidR="00805261" w:rsidRPr="004B6054" w:rsidRDefault="00805261" w:rsidP="00805261">
      <w:pPr>
        <w:spacing w:after="240" w:line="360" w:lineRule="auto"/>
        <w:jc w:val="center"/>
        <w:rPr>
          <w:rFonts w:ascii="Times New Roman" w:hAnsi="Times New Roman" w:cs="Times New Roman"/>
          <w:b/>
        </w:rPr>
      </w:pPr>
      <w:r w:rsidRPr="004B6054">
        <w:rPr>
          <w:rFonts w:ascii="Times New Roman" w:hAnsi="Times New Roman" w:cs="Times New Roman"/>
          <w:b/>
        </w:rPr>
        <w:t>3. Methodological Issues in Questionnaires</w:t>
      </w:r>
    </w:p>
    <w:p w:rsidR="00805261" w:rsidRPr="00F50A4E" w:rsidRDefault="00805261" w:rsidP="00805261">
      <w:pPr>
        <w:spacing w:after="240" w:line="360" w:lineRule="auto"/>
        <w:ind w:firstLine="720"/>
        <w:rPr>
          <w:rFonts w:ascii="Times New Roman" w:hAnsi="Times New Roman" w:cs="Times New Roman"/>
        </w:rPr>
      </w:pPr>
      <w:r w:rsidRPr="00B1001A">
        <w:rPr>
          <w:rFonts w:ascii="Times New Roman" w:hAnsi="Times New Roman" w:cs="Times New Roman"/>
        </w:rPr>
        <w:t xml:space="preserve">Between </w:t>
      </w:r>
      <w:r>
        <w:rPr>
          <w:rFonts w:ascii="Times New Roman" w:hAnsi="Times New Roman" w:cs="Times New Roman"/>
        </w:rPr>
        <w:t xml:space="preserve">the </w:t>
      </w:r>
      <w:r w:rsidRPr="00B1001A">
        <w:rPr>
          <w:rFonts w:ascii="Times New Roman" w:hAnsi="Times New Roman" w:cs="Times New Roman"/>
        </w:rPr>
        <w:t>late 1980s and early 1990s</w:t>
      </w:r>
      <w:r>
        <w:rPr>
          <w:rFonts w:ascii="Times New Roman" w:hAnsi="Times New Roman" w:cs="Times New Roman"/>
        </w:rPr>
        <w:t>,</w:t>
      </w:r>
      <w:r w:rsidRPr="00B1001A">
        <w:rPr>
          <w:rFonts w:ascii="Times New Roman" w:hAnsi="Times New Roman" w:cs="Times New Roman"/>
        </w:rPr>
        <w:t xml:space="preserve"> </w:t>
      </w:r>
      <w:r>
        <w:rPr>
          <w:rFonts w:ascii="Times New Roman" w:hAnsi="Times New Roman" w:cs="Times New Roman"/>
        </w:rPr>
        <w:t>researchers began</w:t>
      </w:r>
      <w:r w:rsidRPr="00B1001A">
        <w:rPr>
          <w:rFonts w:ascii="Times New Roman" w:hAnsi="Times New Roman" w:cs="Times New Roman"/>
        </w:rPr>
        <w:t xml:space="preserve"> examining the issues that could affect the reliability and validity of</w:t>
      </w:r>
      <w:r>
        <w:rPr>
          <w:rFonts w:ascii="Times New Roman" w:hAnsi="Times New Roman" w:cs="Times New Roman"/>
        </w:rPr>
        <w:t xml:space="preserve"> wellbeing measures</w:t>
      </w:r>
      <w:r w:rsidRPr="00F50A4E">
        <w:rPr>
          <w:rFonts w:ascii="Times New Roman" w:hAnsi="Times New Roman" w:cs="Times New Roman"/>
        </w:rPr>
        <w:t xml:space="preserve">. Specifically, when the construct of measurement is </w:t>
      </w:r>
      <w:r>
        <w:rPr>
          <w:rFonts w:ascii="Times New Roman" w:hAnsi="Times New Roman" w:cs="Times New Roman"/>
        </w:rPr>
        <w:t>subjective by nature, it is more important to ascertain</w:t>
      </w:r>
      <w:r w:rsidRPr="00F50A4E">
        <w:rPr>
          <w:rFonts w:ascii="Times New Roman" w:hAnsi="Times New Roman" w:cs="Times New Roman"/>
        </w:rPr>
        <w:t xml:space="preserve"> its psychometric </w:t>
      </w:r>
      <w:r>
        <w:rPr>
          <w:rFonts w:ascii="Times New Roman" w:hAnsi="Times New Roman" w:cs="Times New Roman"/>
        </w:rPr>
        <w:t>properties.</w:t>
      </w:r>
      <w:r w:rsidRPr="00F50A4E">
        <w:rPr>
          <w:rFonts w:ascii="Times New Roman" w:hAnsi="Times New Roman" w:cs="Times New Roman"/>
        </w:rPr>
        <w:t xml:space="preserve"> Surveys are becoming increasingly popular for </w:t>
      </w:r>
      <w:r>
        <w:rPr>
          <w:rFonts w:ascii="Times New Roman" w:hAnsi="Times New Roman" w:cs="Times New Roman"/>
        </w:rPr>
        <w:t>psychology research</w:t>
      </w:r>
      <w:r w:rsidRPr="00F50A4E">
        <w:rPr>
          <w:rFonts w:ascii="Times New Roman" w:hAnsi="Times New Roman" w:cs="Times New Roman"/>
        </w:rPr>
        <w:t xml:space="preserve"> due to the convenience and ability to gain large numbers of </w:t>
      </w:r>
      <w:r>
        <w:rPr>
          <w:rFonts w:ascii="Times New Roman" w:hAnsi="Times New Roman" w:cs="Times New Roman"/>
        </w:rPr>
        <w:t>participants in a short time</w:t>
      </w:r>
      <w:r w:rsidRPr="00F50A4E">
        <w:rPr>
          <w:rFonts w:ascii="Times New Roman" w:hAnsi="Times New Roman" w:cs="Times New Roman"/>
        </w:rPr>
        <w:t xml:space="preserve">. </w:t>
      </w:r>
      <w:r>
        <w:rPr>
          <w:rFonts w:ascii="Times New Roman" w:hAnsi="Times New Roman" w:cs="Times New Roman"/>
        </w:rPr>
        <w:t xml:space="preserve">A number of problems </w:t>
      </w:r>
      <w:r w:rsidRPr="00F50A4E">
        <w:rPr>
          <w:rFonts w:ascii="Times New Roman" w:hAnsi="Times New Roman" w:cs="Times New Roman"/>
        </w:rPr>
        <w:t>can affect questionnaires in relation to the structure, content and context (Schuman</w:t>
      </w:r>
      <w:r w:rsidRPr="00222FB0">
        <w:rPr>
          <w:rFonts w:ascii="Times New Roman" w:hAnsi="Times New Roman" w:cs="Times New Roman"/>
        </w:rPr>
        <w:t xml:space="preserve"> &amp; Presser, 1987</w:t>
      </w:r>
      <w:r>
        <w:rPr>
          <w:rFonts w:ascii="Times New Roman" w:hAnsi="Times New Roman" w:cs="Times New Roman"/>
        </w:rPr>
        <w:t>) hence the impor</w:t>
      </w:r>
      <w:r w:rsidRPr="00222FB0">
        <w:rPr>
          <w:rFonts w:ascii="Times New Roman" w:hAnsi="Times New Roman" w:cs="Times New Roman"/>
        </w:rPr>
        <w:t>t</w:t>
      </w:r>
      <w:r>
        <w:rPr>
          <w:rFonts w:ascii="Times New Roman" w:hAnsi="Times New Roman" w:cs="Times New Roman"/>
        </w:rPr>
        <w:t xml:space="preserve">ance in determining </w:t>
      </w:r>
      <w:r w:rsidRPr="00222FB0">
        <w:rPr>
          <w:rFonts w:ascii="Times New Roman" w:hAnsi="Times New Roman" w:cs="Times New Roman"/>
        </w:rPr>
        <w:t>whether individuals</w:t>
      </w:r>
      <w:r>
        <w:rPr>
          <w:rFonts w:ascii="Times New Roman" w:hAnsi="Times New Roman" w:cs="Times New Roman"/>
        </w:rPr>
        <w:t>’</w:t>
      </w:r>
      <w:r w:rsidRPr="00222FB0">
        <w:rPr>
          <w:rFonts w:ascii="Times New Roman" w:hAnsi="Times New Roman" w:cs="Times New Roman"/>
        </w:rPr>
        <w:t xml:space="preserve"> </w:t>
      </w:r>
      <w:r>
        <w:rPr>
          <w:rFonts w:ascii="Times New Roman" w:hAnsi="Times New Roman" w:cs="Times New Roman"/>
        </w:rPr>
        <w:t>responses represent an accurate answer</w:t>
      </w:r>
      <w:r w:rsidRPr="00222FB0">
        <w:rPr>
          <w:rFonts w:ascii="Times New Roman" w:hAnsi="Times New Roman" w:cs="Times New Roman"/>
        </w:rPr>
        <w:t xml:space="preserve"> to the question presented or</w:t>
      </w:r>
      <w:r>
        <w:rPr>
          <w:rFonts w:ascii="Times New Roman" w:hAnsi="Times New Roman" w:cs="Times New Roman"/>
        </w:rPr>
        <w:t xml:space="preserve"> rather, may be an artefact of the questionnaire design</w:t>
      </w:r>
      <w:r w:rsidRPr="00222FB0">
        <w:rPr>
          <w:rFonts w:ascii="Times New Roman" w:hAnsi="Times New Roman" w:cs="Times New Roman"/>
        </w:rPr>
        <w:t>.</w:t>
      </w:r>
      <w:r w:rsidRPr="004B6054">
        <w:rPr>
          <w:rFonts w:ascii="Times New Roman" w:hAnsi="Times New Roman" w:cs="Times New Roman"/>
        </w:rPr>
        <w:t xml:space="preserve"> </w:t>
      </w:r>
    </w:p>
    <w:p w:rsidR="00805261" w:rsidRPr="001640D7" w:rsidRDefault="00805261" w:rsidP="00805261">
      <w:pPr>
        <w:spacing w:after="240" w:line="360" w:lineRule="auto"/>
        <w:rPr>
          <w:rFonts w:ascii="Times New Roman" w:hAnsi="Times New Roman" w:cs="Times New Roman"/>
          <w:b/>
        </w:rPr>
      </w:pPr>
      <w:r>
        <w:rPr>
          <w:rFonts w:ascii="Times New Roman" w:hAnsi="Times New Roman" w:cs="Times New Roman"/>
          <w:b/>
        </w:rPr>
        <w:t>3.1 Response Format</w:t>
      </w:r>
    </w:p>
    <w:p w:rsidR="00805261" w:rsidRDefault="00805261" w:rsidP="00805261">
      <w:pPr>
        <w:tabs>
          <w:tab w:val="left" w:pos="709"/>
        </w:tabs>
        <w:spacing w:after="240" w:line="360" w:lineRule="auto"/>
        <w:rPr>
          <w:rFonts w:ascii="Times New Roman" w:hAnsi="Times New Roman" w:cs="Times New Roman"/>
        </w:rPr>
      </w:pPr>
      <w:r>
        <w:rPr>
          <w:rFonts w:ascii="Times New Roman" w:hAnsi="Times New Roman" w:cs="Times New Roman"/>
        </w:rPr>
        <w:tab/>
        <w:t>The</w:t>
      </w:r>
      <w:r w:rsidRPr="001640D7">
        <w:rPr>
          <w:rFonts w:ascii="Times New Roman" w:hAnsi="Times New Roman" w:cs="Times New Roman"/>
        </w:rPr>
        <w:t xml:space="preserve"> scales used to measure SW</w:t>
      </w:r>
      <w:r>
        <w:rPr>
          <w:rFonts w:ascii="Times New Roman" w:hAnsi="Times New Roman" w:cs="Times New Roman"/>
        </w:rPr>
        <w:t>B</w:t>
      </w:r>
      <w:r w:rsidRPr="001640D7">
        <w:rPr>
          <w:rFonts w:ascii="Times New Roman" w:hAnsi="Times New Roman" w:cs="Times New Roman"/>
        </w:rPr>
        <w:t xml:space="preserve"> </w:t>
      </w:r>
      <w:r>
        <w:rPr>
          <w:rFonts w:ascii="Times New Roman" w:hAnsi="Times New Roman" w:cs="Times New Roman"/>
        </w:rPr>
        <w:t>influence</w:t>
      </w:r>
      <w:r w:rsidRPr="001640D7">
        <w:rPr>
          <w:rFonts w:ascii="Times New Roman" w:hAnsi="Times New Roman" w:cs="Times New Roman"/>
        </w:rPr>
        <w:t xml:space="preserve"> participants</w:t>
      </w:r>
      <w:r>
        <w:rPr>
          <w:rFonts w:ascii="Times New Roman" w:hAnsi="Times New Roman" w:cs="Times New Roman"/>
        </w:rPr>
        <w:t xml:space="preserve">’ ability to </w:t>
      </w:r>
      <w:r w:rsidRPr="001640D7">
        <w:rPr>
          <w:rFonts w:ascii="Times New Roman" w:hAnsi="Times New Roman" w:cs="Times New Roman"/>
        </w:rPr>
        <w:t>respond.</w:t>
      </w:r>
      <w:r>
        <w:rPr>
          <w:rFonts w:ascii="Times New Roman" w:hAnsi="Times New Roman" w:cs="Times New Roman"/>
        </w:rPr>
        <w:t xml:space="preserve"> Likert scales are primarily used in self-report measures, however, the number of points tend to differ. Cummins and Gullone (2000) advocate for the use of Likert scales of more than five points in SWB measures. Limiting the number of responses, denies the </w:t>
      </w:r>
      <w:r w:rsidRPr="00AB7A85">
        <w:rPr>
          <w:rFonts w:ascii="Times New Roman" w:hAnsi="Times New Roman" w:cs="Times New Roman"/>
        </w:rPr>
        <w:t>individuals the opportunity to discriminate their response values to accurately determine their evaluation a</w:t>
      </w:r>
      <w:r>
        <w:rPr>
          <w:rFonts w:ascii="Times New Roman" w:hAnsi="Times New Roman" w:cs="Times New Roman"/>
        </w:rPr>
        <w:t>nd are often seen as unable to be sensitive to SWB evaluations.</w:t>
      </w:r>
      <w:r w:rsidRPr="00AB7A85">
        <w:rPr>
          <w:rFonts w:ascii="Times New Roman" w:hAnsi="Times New Roman" w:cs="Times New Roman"/>
        </w:rPr>
        <w:t xml:space="preserve"> </w:t>
      </w:r>
      <w:r>
        <w:rPr>
          <w:rFonts w:ascii="Times New Roman" w:hAnsi="Times New Roman" w:cs="Times New Roman"/>
        </w:rPr>
        <w:t>Additionally, Lozano,</w:t>
      </w:r>
      <w:r w:rsidRPr="00AB7A85">
        <w:rPr>
          <w:rFonts w:ascii="Times New Roman" w:hAnsi="Times New Roman" w:cs="Times New Roman"/>
        </w:rPr>
        <w:t xml:space="preserve"> </w:t>
      </w:r>
      <w:r>
        <w:rPr>
          <w:rFonts w:ascii="Times New Roman" w:hAnsi="Times New Roman" w:cs="Times New Roman"/>
        </w:rPr>
        <w:t>García-Cueto and</w:t>
      </w:r>
      <w:r w:rsidRPr="00AB7A85">
        <w:rPr>
          <w:rFonts w:ascii="Times New Roman" w:hAnsi="Times New Roman" w:cs="Times New Roman"/>
        </w:rPr>
        <w:t xml:space="preserve"> </w:t>
      </w:r>
      <w:r>
        <w:rPr>
          <w:rFonts w:ascii="Times New Roman" w:hAnsi="Times New Roman" w:cs="Times New Roman"/>
        </w:rPr>
        <w:t>Muñiz (</w:t>
      </w:r>
      <w:r w:rsidRPr="00AB7A85">
        <w:rPr>
          <w:rFonts w:ascii="Times New Roman" w:hAnsi="Times New Roman" w:cs="Times New Roman"/>
        </w:rPr>
        <w:t>2008</w:t>
      </w:r>
      <w:r>
        <w:rPr>
          <w:rFonts w:ascii="Times New Roman" w:hAnsi="Times New Roman" w:cs="Times New Roman"/>
        </w:rPr>
        <w:t>) indicated that 4 to 7-point Likert scale provide optimum validity and reliability. Conversely,</w:t>
      </w:r>
      <w:r w:rsidRPr="00AB7A85">
        <w:rPr>
          <w:rFonts w:ascii="Times New Roman" w:hAnsi="Times New Roman" w:cs="Times New Roman"/>
        </w:rPr>
        <w:t xml:space="preserve"> </w:t>
      </w:r>
      <w:r>
        <w:rPr>
          <w:rFonts w:ascii="Times New Roman" w:hAnsi="Times New Roman" w:cs="Times New Roman"/>
        </w:rPr>
        <w:t xml:space="preserve">Matell </w:t>
      </w:r>
      <w:r w:rsidRPr="00AB7A85">
        <w:rPr>
          <w:rFonts w:ascii="Times New Roman" w:hAnsi="Times New Roman" w:cs="Times New Roman"/>
        </w:rPr>
        <w:t>and Jacoby (1971) found no</w:t>
      </w:r>
      <w:r>
        <w:rPr>
          <w:rFonts w:ascii="Times New Roman" w:hAnsi="Times New Roman" w:cs="Times New Roman"/>
        </w:rPr>
        <w:t xml:space="preserve"> significant difference</w:t>
      </w:r>
      <w:r w:rsidRPr="00AB7A85">
        <w:rPr>
          <w:rFonts w:ascii="Times New Roman" w:hAnsi="Times New Roman" w:cs="Times New Roman"/>
        </w:rPr>
        <w:t xml:space="preserve"> in psychometrics</w:t>
      </w:r>
      <w:r>
        <w:rPr>
          <w:rFonts w:ascii="Times New Roman" w:hAnsi="Times New Roman" w:cs="Times New Roman"/>
        </w:rPr>
        <w:t xml:space="preserve"> properties between 2 to 19-point Likert scales. The number of points recommended as appropriate on scale to self-report reveals mixed evidence. Response format may have complex response effects and should be taken into account. </w:t>
      </w:r>
    </w:p>
    <w:p w:rsidR="00805261" w:rsidRPr="002F055B" w:rsidRDefault="00805261" w:rsidP="00805261">
      <w:pPr>
        <w:spacing w:after="240" w:line="360" w:lineRule="auto"/>
        <w:rPr>
          <w:rFonts w:ascii="Times New Roman" w:hAnsi="Times New Roman" w:cs="Times New Roman"/>
        </w:rPr>
      </w:pPr>
      <w:r>
        <w:rPr>
          <w:rFonts w:ascii="Times New Roman" w:hAnsi="Times New Roman" w:cs="Times New Roman"/>
          <w:b/>
        </w:rPr>
        <w:t>3.2 Directionality Effect</w:t>
      </w:r>
    </w:p>
    <w:p w:rsidR="00805261" w:rsidRPr="003760AE" w:rsidRDefault="00805261" w:rsidP="00805261">
      <w:pPr>
        <w:spacing w:after="240" w:line="360" w:lineRule="auto"/>
        <w:ind w:firstLine="720"/>
        <w:rPr>
          <w:rFonts w:ascii="Times New Roman" w:hAnsi="Times New Roman" w:cs="Times New Roman"/>
        </w:rPr>
      </w:pPr>
      <w:r>
        <w:rPr>
          <w:rFonts w:ascii="Times New Roman" w:hAnsi="Times New Roman" w:cs="Times New Roman"/>
        </w:rPr>
        <w:t xml:space="preserve">The wording of the questions pose and interesting and complex effect upon responses. </w:t>
      </w:r>
      <w:r w:rsidRPr="007C0A65">
        <w:rPr>
          <w:rFonts w:ascii="Times New Roman" w:hAnsi="Times New Roman" w:cs="Times New Roman"/>
        </w:rPr>
        <w:t>A</w:t>
      </w:r>
      <w:r>
        <w:rPr>
          <w:rFonts w:ascii="Times New Roman" w:hAnsi="Times New Roman" w:cs="Times New Roman"/>
        </w:rPr>
        <w:t xml:space="preserve"> </w:t>
      </w:r>
      <w:r w:rsidRPr="007C0A65">
        <w:rPr>
          <w:rFonts w:ascii="Times New Roman" w:hAnsi="Times New Roman" w:cs="Times New Roman"/>
        </w:rPr>
        <w:t>recent article by Kaplan, Luckman</w:t>
      </w:r>
      <w:r>
        <w:rPr>
          <w:rFonts w:ascii="Times New Roman" w:hAnsi="Times New Roman" w:cs="Times New Roman"/>
        </w:rPr>
        <w:t>,</w:t>
      </w:r>
      <w:r w:rsidRPr="007C0A65">
        <w:rPr>
          <w:rFonts w:ascii="Times New Roman" w:hAnsi="Times New Roman" w:cs="Times New Roman"/>
        </w:rPr>
        <w:t xml:space="preserve"> </w:t>
      </w:r>
      <w:r>
        <w:rPr>
          <w:rFonts w:ascii="Times New Roman" w:hAnsi="Times New Roman" w:cs="Times New Roman"/>
        </w:rPr>
        <w:t>and</w:t>
      </w:r>
      <w:r w:rsidRPr="007C0A65">
        <w:rPr>
          <w:rFonts w:ascii="Times New Roman" w:hAnsi="Times New Roman" w:cs="Times New Roman"/>
        </w:rPr>
        <w:t xml:space="preserve"> Mock (2013) </w:t>
      </w:r>
      <w:r>
        <w:rPr>
          <w:rFonts w:ascii="Times New Roman" w:hAnsi="Times New Roman" w:cs="Times New Roman"/>
        </w:rPr>
        <w:t xml:space="preserve">found that the wording of the questions, positively or negatively termed, tended to provide the same direction in the response given, directional effects. For example, a positively worded question such as ‘how happy were you today’ would tend to obtain a positive (Kaplan et al., 2013). </w:t>
      </w:r>
      <w:r w:rsidRPr="0070480B">
        <w:rPr>
          <w:rFonts w:ascii="Times New Roman" w:hAnsi="Times New Roman" w:cs="Times New Roman"/>
        </w:rPr>
        <w:t>This may suggest the wording</w:t>
      </w:r>
      <w:r>
        <w:rPr>
          <w:rFonts w:ascii="Times New Roman" w:hAnsi="Times New Roman" w:cs="Times New Roman"/>
        </w:rPr>
        <w:t xml:space="preserve"> of questions</w:t>
      </w:r>
      <w:r w:rsidRPr="0070480B">
        <w:rPr>
          <w:rFonts w:ascii="Times New Roman" w:hAnsi="Times New Roman" w:cs="Times New Roman"/>
        </w:rPr>
        <w:t xml:space="preserve"> can impact upon the accessibility of information.</w:t>
      </w:r>
    </w:p>
    <w:p w:rsidR="00805261" w:rsidRPr="0045315C" w:rsidRDefault="00805261" w:rsidP="00805261">
      <w:pPr>
        <w:spacing w:after="240" w:line="360" w:lineRule="auto"/>
        <w:rPr>
          <w:rFonts w:ascii="Times New Roman" w:hAnsi="Times New Roman" w:cs="Times New Roman"/>
        </w:rPr>
      </w:pPr>
      <w:r>
        <w:rPr>
          <w:rFonts w:ascii="Times New Roman" w:hAnsi="Times New Roman" w:cs="Times New Roman"/>
          <w:b/>
        </w:rPr>
        <w:t>3.3 Question Specificity</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 xml:space="preserve">The questions asked provide the information for individuals to respond to, therefore the differing levels of specificity of questions, influence the response given. Questions such as ‘how satisfied are you with your health’ and ‘how satisfied are you with your relationships’ satisfy the same amount of specificity. In contrast, the questions ‘how satisfied are you with your health’ and ‘how satisfied are you with your life overall’ constitute different levels of specificity, with the former asking for information more specific than the latter. Using general life satisfaction questions requires extensive cognitive processing (Schwarz &amp; Strack, 1991) thus respondents tend to rely on an affective heuristic such as their current mood, ideally </w:t>
      </w:r>
      <w:r w:rsidRPr="00BB4474">
        <w:rPr>
          <w:rFonts w:ascii="Times New Roman" w:hAnsi="Times New Roman" w:cs="Times New Roman"/>
        </w:rPr>
        <w:t>representing</w:t>
      </w:r>
      <w:r w:rsidRPr="009F771E">
        <w:rPr>
          <w:rFonts w:ascii="Times New Roman" w:hAnsi="Times New Roman" w:cs="Times New Roman"/>
          <w:color w:val="FF0000"/>
        </w:rPr>
        <w:t xml:space="preserve"> </w:t>
      </w:r>
      <w:r>
        <w:rPr>
          <w:rFonts w:ascii="Times New Roman" w:hAnsi="Times New Roman" w:cs="Times New Roman"/>
        </w:rPr>
        <w:t>HPMood (Cummins, 2010). As the criteria for satisfaction in specific life satisfaction questions is well-defined, the information is easily accessibility and less cognitive processing is required (Schwarz &amp; Strack, 1991). Questions of different specificity within wellbeing measures provide very different information; therefore wellbeing questionnaires typically contain items of different specificity. Questionnaire structures in which general questions precedes the more specific ones are termed general-</w:t>
      </w:r>
      <w:r w:rsidRPr="00176E19">
        <w:rPr>
          <w:rFonts w:ascii="Times New Roman" w:hAnsi="Times New Roman" w:cs="Times New Roman"/>
        </w:rPr>
        <w:t xml:space="preserve">specific, and where </w:t>
      </w:r>
      <w:r>
        <w:rPr>
          <w:rFonts w:ascii="Times New Roman" w:hAnsi="Times New Roman" w:cs="Times New Roman"/>
        </w:rPr>
        <w:t>specific questions are asked previously to general are termed specific-general. It has been proposed in the literature that the order of questions in terms of specificity can influence certain response effects.</w:t>
      </w:r>
    </w:p>
    <w:p w:rsidR="00805261" w:rsidRPr="004B6054" w:rsidRDefault="00805261" w:rsidP="00805261">
      <w:pPr>
        <w:spacing w:after="240" w:line="360" w:lineRule="auto"/>
        <w:rPr>
          <w:rFonts w:ascii="Times New Roman" w:hAnsi="Times New Roman" w:cs="Times New Roman"/>
          <w:b/>
        </w:rPr>
      </w:pPr>
      <w:r>
        <w:rPr>
          <w:rFonts w:ascii="Times New Roman" w:hAnsi="Times New Roman" w:cs="Times New Roman"/>
          <w:b/>
        </w:rPr>
        <w:t>3.4</w:t>
      </w:r>
      <w:r w:rsidRPr="004B6054">
        <w:rPr>
          <w:rFonts w:ascii="Times New Roman" w:hAnsi="Times New Roman" w:cs="Times New Roman"/>
          <w:b/>
        </w:rPr>
        <w:t xml:space="preserve"> Question Order</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The structure of a questionnaire affects the types of responses given by an individual. Rather than responses reflecting the content of the questions</w:t>
      </w:r>
      <w:r w:rsidRPr="00DD3A4E">
        <w:rPr>
          <w:rFonts w:ascii="Times New Roman" w:hAnsi="Times New Roman" w:cs="Times New Roman"/>
        </w:rPr>
        <w:t xml:space="preserve">, </w:t>
      </w:r>
      <w:r>
        <w:rPr>
          <w:rFonts w:ascii="Times New Roman" w:hAnsi="Times New Roman" w:cs="Times New Roman"/>
        </w:rPr>
        <w:t>there is speculation that they may</w:t>
      </w:r>
      <w:r w:rsidRPr="00DD3A4E">
        <w:rPr>
          <w:rFonts w:ascii="Times New Roman" w:hAnsi="Times New Roman" w:cs="Times New Roman"/>
        </w:rPr>
        <w:t xml:space="preserve"> be due to the order in which they are presented (Schuman &amp; Presser, 1981).</w:t>
      </w:r>
      <w:r>
        <w:rPr>
          <w:rFonts w:ascii="Times New Roman" w:hAnsi="Times New Roman" w:cs="Times New Roman"/>
        </w:rPr>
        <w:t xml:space="preserve"> T</w:t>
      </w:r>
      <w:r w:rsidRPr="00DD3A4E">
        <w:rPr>
          <w:rFonts w:ascii="Times New Roman" w:hAnsi="Times New Roman" w:cs="Times New Roman"/>
        </w:rPr>
        <w:t>he interpretation</w:t>
      </w:r>
      <w:r>
        <w:rPr>
          <w:rFonts w:ascii="Times New Roman" w:hAnsi="Times New Roman" w:cs="Times New Roman"/>
        </w:rPr>
        <w:t xml:space="preserve"> of questions within a survey are</w:t>
      </w:r>
      <w:r w:rsidRPr="00DD3A4E">
        <w:rPr>
          <w:rFonts w:ascii="Times New Roman" w:hAnsi="Times New Roman" w:cs="Times New Roman"/>
        </w:rPr>
        <w:t xml:space="preserve"> highly influenced by</w:t>
      </w:r>
      <w:r>
        <w:rPr>
          <w:rFonts w:ascii="Times New Roman" w:hAnsi="Times New Roman" w:cs="Times New Roman"/>
        </w:rPr>
        <w:t xml:space="preserve"> the questions which precede the</w:t>
      </w:r>
      <w:r w:rsidRPr="00DD3A4E">
        <w:rPr>
          <w:rFonts w:ascii="Times New Roman" w:hAnsi="Times New Roman" w:cs="Times New Roman"/>
        </w:rPr>
        <w:t>m (</w:t>
      </w:r>
      <w:r>
        <w:rPr>
          <w:rFonts w:ascii="Times New Roman" w:hAnsi="Times New Roman" w:cs="Times New Roman"/>
        </w:rPr>
        <w:t xml:space="preserve">Carlson, Marson, Saltiel, &amp; Sanster, 1995; Kaplan et al., 2013; </w:t>
      </w:r>
      <w:r w:rsidRPr="00DD3A4E">
        <w:rPr>
          <w:rFonts w:ascii="Times New Roman" w:hAnsi="Times New Roman" w:cs="Times New Roman"/>
        </w:rPr>
        <w:t>Schuman &amp; Presser, 1981</w:t>
      </w:r>
      <w:r>
        <w:rPr>
          <w:rFonts w:ascii="Times New Roman" w:hAnsi="Times New Roman" w:cs="Times New Roman"/>
        </w:rPr>
        <w:t xml:space="preserve">; Tourangeau &amp; Rasinski, 1988). Certain question orders and the specificity of these questions, tend to provide particular patterns of responses. A theory explaining these response tendencies has encompassed two types of effects: assimilation, also referred to as consistency and contrast effects, also referred to as redundancy (Carlson et al., 1995; Schuman &amp; Presser, 1987; Schwarz, Strack, &amp; Mai, 1991). </w:t>
      </w:r>
    </w:p>
    <w:p w:rsidR="00805261" w:rsidRPr="0061525E" w:rsidRDefault="00805261" w:rsidP="00805261">
      <w:pPr>
        <w:spacing w:after="240" w:line="360" w:lineRule="auto"/>
        <w:ind w:firstLine="720"/>
        <w:rPr>
          <w:rFonts w:ascii="Times New Roman" w:hAnsi="Times New Roman" w:cs="Times New Roman"/>
        </w:rPr>
      </w:pPr>
      <w:r>
        <w:rPr>
          <w:rFonts w:ascii="Times New Roman" w:hAnsi="Times New Roman" w:cs="Times New Roman"/>
          <w:b/>
        </w:rPr>
        <w:t>3.4.1 Assimilation E</w:t>
      </w:r>
      <w:r w:rsidRPr="005C0A17">
        <w:rPr>
          <w:rFonts w:ascii="Times New Roman" w:hAnsi="Times New Roman" w:cs="Times New Roman"/>
          <w:b/>
        </w:rPr>
        <w:t>ffects</w:t>
      </w:r>
    </w:p>
    <w:p w:rsidR="00805261" w:rsidRDefault="00805261" w:rsidP="00805261">
      <w:pPr>
        <w:spacing w:after="240" w:line="360" w:lineRule="auto"/>
        <w:ind w:firstLine="720"/>
        <w:rPr>
          <w:rFonts w:ascii="Times New Roman" w:hAnsi="Times New Roman" w:cs="Times New Roman"/>
        </w:rPr>
      </w:pPr>
      <w:r w:rsidRPr="00DD48CE">
        <w:rPr>
          <w:rFonts w:ascii="Times New Roman" w:hAnsi="Times New Roman" w:cs="Times New Roman"/>
        </w:rPr>
        <w:t xml:space="preserve">Assimilation effects </w:t>
      </w:r>
      <w:r>
        <w:rPr>
          <w:rFonts w:ascii="Times New Roman" w:hAnsi="Times New Roman" w:cs="Times New Roman"/>
        </w:rPr>
        <w:t xml:space="preserve">describe a response tendency, whereby respondents perceive the items within a questionnaire to be related, and wish to provide consistency in their responses. As a result, responses correlate highly with one another and are said to ‘assimilate’ (Carlson et al., </w:t>
      </w:r>
      <w:r w:rsidRPr="00DD48CE">
        <w:rPr>
          <w:rFonts w:ascii="Times New Roman" w:hAnsi="Times New Roman" w:cs="Times New Roman"/>
        </w:rPr>
        <w:t>1995; Schuman &amp; Presser, 1987)</w:t>
      </w:r>
      <w:r>
        <w:rPr>
          <w:rFonts w:ascii="Times New Roman" w:hAnsi="Times New Roman" w:cs="Times New Roman"/>
        </w:rPr>
        <w:t>.</w:t>
      </w:r>
      <w:r>
        <w:rPr>
          <w:rFonts w:ascii="Times New Roman" w:hAnsi="Times New Roman" w:cs="Times New Roman"/>
          <w:b/>
        </w:rPr>
        <w:t xml:space="preserve"> </w:t>
      </w:r>
      <w:r>
        <w:rPr>
          <w:rFonts w:ascii="Times New Roman" w:hAnsi="Times New Roman" w:cs="Times New Roman"/>
        </w:rPr>
        <w:t>Initial questions within a questionnaire</w:t>
      </w:r>
      <w:r w:rsidRPr="00DD48CE">
        <w:rPr>
          <w:rFonts w:ascii="Times New Roman" w:hAnsi="Times New Roman" w:cs="Times New Roman"/>
        </w:rPr>
        <w:t xml:space="preserve"> can suggest what informati</w:t>
      </w:r>
      <w:r>
        <w:rPr>
          <w:rFonts w:ascii="Times New Roman" w:hAnsi="Times New Roman" w:cs="Times New Roman"/>
        </w:rPr>
        <w:t>on should be used to answer ones that follow</w:t>
      </w:r>
      <w:r w:rsidRPr="00DD48CE">
        <w:rPr>
          <w:rFonts w:ascii="Times New Roman" w:hAnsi="Times New Roman" w:cs="Times New Roman"/>
        </w:rPr>
        <w:t xml:space="preserve"> (Tourangeau &amp; Rasinski, 1988)</w:t>
      </w:r>
      <w:r>
        <w:rPr>
          <w:rFonts w:ascii="Times New Roman" w:hAnsi="Times New Roman" w:cs="Times New Roman"/>
        </w:rPr>
        <w:t>. The occurrence of assimilation effects can be understood in two ways: accessibility of information and summarising prior responses.</w:t>
      </w:r>
    </w:p>
    <w:p w:rsidR="00805261" w:rsidRDefault="00805261" w:rsidP="00805261">
      <w:pPr>
        <w:spacing w:after="240" w:line="360" w:lineRule="auto"/>
        <w:rPr>
          <w:rFonts w:ascii="Times New Roman" w:hAnsi="Times New Roman" w:cs="Times New Roman"/>
          <w:b/>
        </w:rPr>
      </w:pPr>
      <w:r>
        <w:rPr>
          <w:rFonts w:ascii="Times New Roman" w:hAnsi="Times New Roman" w:cs="Times New Roman"/>
        </w:rPr>
        <w:tab/>
        <w:t>The information provided by a question, can prime certain information to be recalled in later questions (Tourangeau &amp; Rasinski, 1988). This effect may occur when questionnaires contain items of same specificity or differing specificity. To exemplify, a wellbeing questionnaire may ask about relationship satisfaction, and later ask a question on overall wellbeing. The information on one’s relationships is easily retrieved from memory as it was primed in a previous question and could then inform the evaluation of overall wellbeing. This would be known as an assimilation affect, as the responses would be consistent with each other.</w:t>
      </w:r>
    </w:p>
    <w:p w:rsidR="00805261" w:rsidRDefault="00805261" w:rsidP="00805261">
      <w:pPr>
        <w:spacing w:after="240" w:line="360" w:lineRule="auto"/>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Assimilation effects can also occur as a later questions become overall summaries of information provided </w:t>
      </w:r>
      <w:r w:rsidRPr="00DD48CE">
        <w:rPr>
          <w:rFonts w:ascii="Times New Roman" w:hAnsi="Times New Roman" w:cs="Times New Roman"/>
        </w:rPr>
        <w:t>(Schwarz, Strack &amp; Mai, 1991)</w:t>
      </w:r>
      <w:r>
        <w:rPr>
          <w:rFonts w:ascii="Times New Roman" w:hAnsi="Times New Roman" w:cs="Times New Roman"/>
        </w:rPr>
        <w:t>. This is common for questionnaire structures in which a general question is paired with specific questions, such as when asked a series of life satisfaction questions in specific life domains followed by an overall life satisfaction question, specific-general. The general question may be perceived as a chance to summarise the information previously provided to the specific domains. The information is easily accessible, therefore when a question asks about overall evaluation, individuals wish to be consistent in their responses (Tourangeau &amp; Rasinski, 1988) and will prefer to average their responses than to give a new evaluation.</w:t>
      </w:r>
      <w:r w:rsidRPr="00CF39D8">
        <w:rPr>
          <w:rFonts w:ascii="Times New Roman" w:hAnsi="Times New Roman" w:cs="Times New Roman"/>
        </w:rPr>
        <w:t xml:space="preserve"> </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In scientific literature on order effects, assimilation effects were found in two studies reviewed.</w:t>
      </w:r>
      <w:r w:rsidRPr="00176E19">
        <w:rPr>
          <w:rFonts w:ascii="Times New Roman" w:hAnsi="Times New Roman" w:cs="Times New Roman"/>
        </w:rPr>
        <w:t xml:space="preserve"> </w:t>
      </w:r>
      <w:r w:rsidRPr="00CF39D8">
        <w:rPr>
          <w:rFonts w:ascii="Times New Roman" w:hAnsi="Times New Roman" w:cs="Times New Roman"/>
        </w:rPr>
        <w:t>Schuman and Presser (1987)</w:t>
      </w:r>
      <w:r>
        <w:rPr>
          <w:rFonts w:ascii="Times New Roman" w:hAnsi="Times New Roman" w:cs="Times New Roman"/>
        </w:rPr>
        <w:t xml:space="preserve">, in their </w:t>
      </w:r>
      <w:r w:rsidRPr="00CF39D8">
        <w:rPr>
          <w:rFonts w:ascii="Times New Roman" w:hAnsi="Times New Roman" w:cs="Times New Roman"/>
        </w:rPr>
        <w:t>meta-analysis</w:t>
      </w:r>
      <w:r>
        <w:rPr>
          <w:rFonts w:ascii="Times New Roman" w:hAnsi="Times New Roman" w:cs="Times New Roman"/>
        </w:rPr>
        <w:t xml:space="preserve">, reviewed </w:t>
      </w:r>
      <w:r w:rsidRPr="00CF39D8">
        <w:rPr>
          <w:rFonts w:ascii="Times New Roman" w:hAnsi="Times New Roman" w:cs="Times New Roman"/>
        </w:rPr>
        <w:t>seven experiments conducted upon question order effect</w:t>
      </w:r>
      <w:r>
        <w:rPr>
          <w:rFonts w:ascii="Times New Roman" w:hAnsi="Times New Roman" w:cs="Times New Roman"/>
        </w:rPr>
        <w:t>. One study reviewed on questionnaire structure contained two questions, one specific in regards to marital happiness and a general question on overall happiness. Responses between the two questions tended to correlate highly when the structure was arranged specific-general. Assimilation was said to have occurred as participants tended to define general happiness in relation to the previous question, martial happiness (Schuman &amp; Presser, 1987), whereas in the general-specific question, this option was not available.</w:t>
      </w:r>
      <w:r w:rsidRPr="00CF39D8">
        <w:rPr>
          <w:rFonts w:ascii="Times New Roman" w:hAnsi="Times New Roman" w:cs="Times New Roman"/>
        </w:rPr>
        <w:t xml:space="preserve"> </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In addition, Schwarz, Strack and Mai (1991) presented an analysis on questionnaires using life satisfaction to measure wellbeing, where they manipulated the question order to determine whether the order lead to any response effects. Specific life satisfaction questions included relationship and work satisfaction while the general questions asked about satisfaction with life overall. These items were rated on an 11-point Likert scale (1, very dissatisfied and 11, very satisfied). Results revealed that correlations between the questions increased in the specific-general condition as compared to the general-specific condition (Schwarz, Strack &amp; Mai, 1991). Thus inferring that participants appeared to assimilate their response to the questions in the specific-general condition, by using the information primed from the preceding questions to respond to the general question interpreting the general question as a summary of the prior questions. When a conversational context was implemented into the design, however, a different type of order effect occurred.</w:t>
      </w:r>
    </w:p>
    <w:p w:rsidR="00805261" w:rsidRPr="005C0A17" w:rsidRDefault="00805261" w:rsidP="00805261">
      <w:pPr>
        <w:spacing w:after="240" w:line="360" w:lineRule="auto"/>
        <w:ind w:firstLine="720"/>
        <w:rPr>
          <w:rFonts w:ascii="Times New Roman" w:hAnsi="Times New Roman" w:cs="Times New Roman"/>
          <w:b/>
        </w:rPr>
      </w:pPr>
      <w:r>
        <w:rPr>
          <w:rFonts w:ascii="Times New Roman" w:hAnsi="Times New Roman" w:cs="Times New Roman"/>
          <w:b/>
        </w:rPr>
        <w:t>3.4.2 Contrast Effects</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Contrast effects describe a response tendency to avoid redundancy,</w:t>
      </w:r>
      <w:r w:rsidRPr="00DD48CE">
        <w:rPr>
          <w:rFonts w:ascii="Times New Roman" w:hAnsi="Times New Roman" w:cs="Times New Roman"/>
        </w:rPr>
        <w:t xml:space="preserve"> whe</w:t>
      </w:r>
      <w:r>
        <w:rPr>
          <w:rFonts w:ascii="Times New Roman" w:hAnsi="Times New Roman" w:cs="Times New Roman"/>
        </w:rPr>
        <w:t>reby</w:t>
      </w:r>
      <w:r w:rsidRPr="00DD48CE">
        <w:rPr>
          <w:rFonts w:ascii="Times New Roman" w:hAnsi="Times New Roman" w:cs="Times New Roman"/>
        </w:rPr>
        <w:t xml:space="preserve"> </w:t>
      </w:r>
      <w:r>
        <w:rPr>
          <w:rFonts w:ascii="Times New Roman" w:hAnsi="Times New Roman" w:cs="Times New Roman"/>
        </w:rPr>
        <w:t>subsequent</w:t>
      </w:r>
      <w:r w:rsidRPr="00DD48CE">
        <w:rPr>
          <w:rFonts w:ascii="Times New Roman" w:hAnsi="Times New Roman" w:cs="Times New Roman"/>
        </w:rPr>
        <w:t xml:space="preserve"> question</w:t>
      </w:r>
      <w:r>
        <w:rPr>
          <w:rFonts w:ascii="Times New Roman" w:hAnsi="Times New Roman" w:cs="Times New Roman"/>
        </w:rPr>
        <w:t>s</w:t>
      </w:r>
      <w:r w:rsidRPr="00DD48CE">
        <w:rPr>
          <w:rFonts w:ascii="Times New Roman" w:hAnsi="Times New Roman" w:cs="Times New Roman"/>
        </w:rPr>
        <w:t xml:space="preserve"> appear to </w:t>
      </w:r>
      <w:r>
        <w:rPr>
          <w:rFonts w:ascii="Times New Roman" w:hAnsi="Times New Roman" w:cs="Times New Roman"/>
        </w:rPr>
        <w:t>differ to</w:t>
      </w:r>
      <w:r w:rsidRPr="00DD48CE">
        <w:rPr>
          <w:rFonts w:ascii="Times New Roman" w:hAnsi="Times New Roman" w:cs="Times New Roman"/>
        </w:rPr>
        <w:t xml:space="preserve"> the preceding que</w:t>
      </w:r>
      <w:r>
        <w:rPr>
          <w:rFonts w:ascii="Times New Roman" w:hAnsi="Times New Roman" w:cs="Times New Roman"/>
        </w:rPr>
        <w:t>stions and thus individuals</w:t>
      </w:r>
      <w:r w:rsidRPr="00DD48CE">
        <w:rPr>
          <w:rFonts w:ascii="Times New Roman" w:hAnsi="Times New Roman" w:cs="Times New Roman"/>
        </w:rPr>
        <w:t xml:space="preserve"> find new information to base their responses on, cont</w:t>
      </w:r>
      <w:r>
        <w:rPr>
          <w:rFonts w:ascii="Times New Roman" w:hAnsi="Times New Roman" w:cs="Times New Roman"/>
        </w:rPr>
        <w:t xml:space="preserve">rasting their answers (Carlson et al., </w:t>
      </w:r>
      <w:r w:rsidRPr="00DD48CE">
        <w:rPr>
          <w:rFonts w:ascii="Times New Roman" w:hAnsi="Times New Roman" w:cs="Times New Roman"/>
        </w:rPr>
        <w:t>1995; Schuman &amp; Presser, 1987)</w:t>
      </w:r>
      <w:r>
        <w:rPr>
          <w:rFonts w:ascii="Times New Roman" w:hAnsi="Times New Roman" w:cs="Times New Roman"/>
        </w:rPr>
        <w:t>. A main force underlying contrasting is the conversation rule.</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color w:val="000000"/>
        </w:rPr>
        <w:t>The conversation rules</w:t>
      </w:r>
      <w:r w:rsidRPr="00A377B7">
        <w:rPr>
          <w:rFonts w:ascii="Times New Roman" w:hAnsi="Times New Roman" w:cs="Times New Roman"/>
          <w:color w:val="000000"/>
        </w:rPr>
        <w:t xml:space="preserve"> state</w:t>
      </w:r>
      <w:r>
        <w:rPr>
          <w:rFonts w:ascii="Times New Roman" w:hAnsi="Times New Roman" w:cs="Times New Roman"/>
          <w:color w:val="000000"/>
        </w:rPr>
        <w:t>s</w:t>
      </w:r>
      <w:r w:rsidRPr="00A377B7">
        <w:rPr>
          <w:rFonts w:ascii="Times New Roman" w:hAnsi="Times New Roman" w:cs="Times New Roman"/>
          <w:color w:val="000000"/>
        </w:rPr>
        <w:t xml:space="preserve"> </w:t>
      </w:r>
      <w:r w:rsidRPr="00A377B7">
        <w:rPr>
          <w:rFonts w:ascii="Times New Roman" w:hAnsi="Times New Roman" w:cs="Times New Roman"/>
        </w:rPr>
        <w:t>that information provided should not be repetitive (Strack, Martin</w:t>
      </w:r>
      <w:r>
        <w:rPr>
          <w:rFonts w:ascii="Times New Roman" w:hAnsi="Times New Roman" w:cs="Times New Roman"/>
        </w:rPr>
        <w:t>,</w:t>
      </w:r>
      <w:r w:rsidRPr="00A377B7">
        <w:rPr>
          <w:rFonts w:ascii="Times New Roman" w:hAnsi="Times New Roman" w:cs="Times New Roman"/>
        </w:rPr>
        <w:t xml:space="preserve"> &amp; Schwarz, 1988).</w:t>
      </w:r>
      <w:r>
        <w:rPr>
          <w:rFonts w:ascii="Times New Roman" w:hAnsi="Times New Roman" w:cs="Times New Roman"/>
        </w:rPr>
        <w:t xml:space="preserve"> To exemplify, during a verbal conversation, participants wish to provide new information as the conversation continues, so as not to repeat information. With regard to questionnaire design,</w:t>
      </w:r>
      <w:r>
        <w:rPr>
          <w:rFonts w:ascii="Times New Roman" w:hAnsi="Times New Roman" w:cs="Times New Roman"/>
          <w:b/>
        </w:rPr>
        <w:t xml:space="preserve"> </w:t>
      </w:r>
      <w:r>
        <w:rPr>
          <w:rFonts w:ascii="Times New Roman" w:hAnsi="Times New Roman" w:cs="Times New Roman"/>
        </w:rPr>
        <w:t>if items are perceived as asking about different contexts,</w:t>
      </w:r>
      <w:r w:rsidRPr="00A377B7">
        <w:rPr>
          <w:rFonts w:ascii="Times New Roman" w:hAnsi="Times New Roman" w:cs="Times New Roman"/>
        </w:rPr>
        <w:t xml:space="preserve"> individuals </w:t>
      </w:r>
      <w:r>
        <w:rPr>
          <w:rFonts w:ascii="Times New Roman" w:hAnsi="Times New Roman" w:cs="Times New Roman"/>
        </w:rPr>
        <w:t>tend not</w:t>
      </w:r>
      <w:r w:rsidRPr="00A377B7">
        <w:rPr>
          <w:rFonts w:ascii="Times New Roman" w:hAnsi="Times New Roman" w:cs="Times New Roman"/>
        </w:rPr>
        <w:t xml:space="preserve"> to provide the same information</w:t>
      </w:r>
      <w:r>
        <w:rPr>
          <w:rFonts w:ascii="Times New Roman" w:hAnsi="Times New Roman" w:cs="Times New Roman"/>
        </w:rPr>
        <w:t xml:space="preserve"> for more than one question as it is redundant </w:t>
      </w:r>
      <w:r w:rsidRPr="00A377B7">
        <w:rPr>
          <w:rFonts w:ascii="Times New Roman" w:hAnsi="Times New Roman" w:cs="Times New Roman"/>
        </w:rPr>
        <w:t>(Tourangeau &amp; Rasinski, 1988)</w:t>
      </w:r>
      <w:r>
        <w:rPr>
          <w:rFonts w:ascii="Times New Roman" w:hAnsi="Times New Roman" w:cs="Times New Roman"/>
        </w:rPr>
        <w:t>.</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 xml:space="preserve">Contrast effects tends to occur in literature, due to participants wishing to avoid redundancy in their responses. In two studies, Strack et al. (1998) and Schwarz, Strack and Mai (1991) produced a conversation context, such that the participants are discouraged to the use of the same information for following questions. This conversational rule was compared against a condition in which no conversation context was provided. In Strack et al. </w:t>
      </w:r>
      <w:r w:rsidRPr="00CF39D8">
        <w:rPr>
          <w:rFonts w:ascii="Times New Roman" w:hAnsi="Times New Roman" w:cs="Times New Roman"/>
        </w:rPr>
        <w:t>(1988)</w:t>
      </w:r>
      <w:r>
        <w:rPr>
          <w:rFonts w:ascii="Times New Roman" w:hAnsi="Times New Roman" w:cs="Times New Roman"/>
        </w:rPr>
        <w:t>,</w:t>
      </w:r>
      <w:r w:rsidRPr="00CF39D8">
        <w:rPr>
          <w:rFonts w:ascii="Times New Roman" w:hAnsi="Times New Roman" w:cs="Times New Roman"/>
        </w:rPr>
        <w:t xml:space="preserve"> two questions</w:t>
      </w:r>
      <w:r>
        <w:rPr>
          <w:rFonts w:ascii="Times New Roman" w:hAnsi="Times New Roman" w:cs="Times New Roman"/>
        </w:rPr>
        <w:t xml:space="preserve"> were used, a </w:t>
      </w:r>
      <w:r w:rsidRPr="00CF39D8">
        <w:rPr>
          <w:rFonts w:ascii="Times New Roman" w:hAnsi="Times New Roman" w:cs="Times New Roman"/>
        </w:rPr>
        <w:t xml:space="preserve">general </w:t>
      </w:r>
      <w:r>
        <w:rPr>
          <w:rFonts w:ascii="Times New Roman" w:hAnsi="Times New Roman" w:cs="Times New Roman"/>
        </w:rPr>
        <w:t>happiness question (general question) and happiness</w:t>
      </w:r>
      <w:r w:rsidRPr="00CF39D8">
        <w:rPr>
          <w:rFonts w:ascii="Times New Roman" w:hAnsi="Times New Roman" w:cs="Times New Roman"/>
        </w:rPr>
        <w:t xml:space="preserve"> with</w:t>
      </w:r>
      <w:r>
        <w:rPr>
          <w:rFonts w:ascii="Times New Roman" w:hAnsi="Times New Roman" w:cs="Times New Roman"/>
        </w:rPr>
        <w:t xml:space="preserve">in a particular domain of life, in this case, </w:t>
      </w:r>
      <w:r w:rsidRPr="00CF39D8">
        <w:rPr>
          <w:rFonts w:ascii="Times New Roman" w:hAnsi="Times New Roman" w:cs="Times New Roman"/>
        </w:rPr>
        <w:t xml:space="preserve">dating </w:t>
      </w:r>
      <w:r>
        <w:rPr>
          <w:rFonts w:ascii="Times New Roman" w:hAnsi="Times New Roman" w:cs="Times New Roman"/>
        </w:rPr>
        <w:t>(</w:t>
      </w:r>
      <w:r w:rsidRPr="00CF39D8">
        <w:rPr>
          <w:rFonts w:ascii="Times New Roman" w:hAnsi="Times New Roman" w:cs="Times New Roman"/>
        </w:rPr>
        <w:t>specific question)</w:t>
      </w:r>
      <w:r>
        <w:rPr>
          <w:rFonts w:ascii="Times New Roman" w:hAnsi="Times New Roman" w:cs="Times New Roman"/>
        </w:rPr>
        <w:t xml:space="preserve">. Three conditions were included, a general-specific condition as a control group and two experimental conditions where the questions were arranged specific-general. The two experimental conditions differed, with </w:t>
      </w:r>
      <w:r w:rsidRPr="00CF39D8">
        <w:rPr>
          <w:rFonts w:ascii="Times New Roman" w:hAnsi="Times New Roman" w:cs="Times New Roman"/>
        </w:rPr>
        <w:t xml:space="preserve">a conversation context </w:t>
      </w:r>
      <w:r>
        <w:rPr>
          <w:rFonts w:ascii="Times New Roman" w:hAnsi="Times New Roman" w:cs="Times New Roman"/>
        </w:rPr>
        <w:t>was implied in one condition. This conversational context indicated to</w:t>
      </w:r>
      <w:r w:rsidRPr="00CF39D8">
        <w:rPr>
          <w:rFonts w:ascii="Times New Roman" w:hAnsi="Times New Roman" w:cs="Times New Roman"/>
        </w:rPr>
        <w:t xml:space="preserve"> the participants the two questions were not related. </w:t>
      </w:r>
      <w:r>
        <w:rPr>
          <w:rFonts w:ascii="Times New Roman" w:hAnsi="Times New Roman" w:cs="Times New Roman"/>
        </w:rPr>
        <w:t xml:space="preserve">Schwarz, Strack and Mai (1991) also compared a general-specific group as a control condition against specific-general conditions, with and without conversations contexts. The specific questions asked about satisfaction in life domains while general questions asked about satisfaction with life as a whole. Both articles found that the conditions without a conversation context provided highly correlated responses between questionnaire items, while the conversational context condition differed significantly, showing a significant decline in the correlations between responses (Schwarz, Strack &amp; Mai, 1991; Strack et al., 1998). Contrast effect explains why individuals tended to provide different responses, as the conversational rule states that responses should not be repetitive when questions are seen as asking for different information. </w:t>
      </w:r>
    </w:p>
    <w:p w:rsidR="00805261" w:rsidRPr="00513F62" w:rsidRDefault="00805261" w:rsidP="00805261">
      <w:pPr>
        <w:spacing w:after="240" w:line="360" w:lineRule="auto"/>
        <w:ind w:firstLine="720"/>
        <w:rPr>
          <w:rFonts w:ascii="Times New Roman" w:hAnsi="Times New Roman" w:cs="Times New Roman"/>
        </w:rPr>
      </w:pPr>
      <w:r>
        <w:rPr>
          <w:rFonts w:ascii="Times New Roman" w:hAnsi="Times New Roman" w:cs="Times New Roman"/>
        </w:rPr>
        <w:t>In a study reviewed by Schuman and Presser (1987) a contrast effect was found to occur without conversational context information. A questionnaire on abortion consisted of two items, a general on whether abortion should be legalised and specific question, on whether legislation of abortion due to defect in the baby. An order effect was said to occur as agreement with the general question was 17.4% higher in the general-specific condition (Schuman &amp; Presser, 1987). A contrast effect may be explain the response effect in the specific-general condition, whereby participants perceived the general question as excluding the case presented in previously.</w:t>
      </w:r>
    </w:p>
    <w:p w:rsidR="00805261" w:rsidRPr="005979D2" w:rsidRDefault="00805261" w:rsidP="00805261">
      <w:pPr>
        <w:spacing w:after="240" w:line="360" w:lineRule="auto"/>
        <w:ind w:firstLine="720"/>
        <w:rPr>
          <w:rFonts w:ascii="Times New Roman" w:hAnsi="Times New Roman" w:cs="Times New Roman"/>
          <w:b/>
        </w:rPr>
      </w:pPr>
      <w:r>
        <w:rPr>
          <w:rFonts w:ascii="Times New Roman" w:hAnsi="Times New Roman" w:cs="Times New Roman"/>
          <w:b/>
        </w:rPr>
        <w:t>3.4.3 Inconsistency of Order Effects in Literature</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Despite the mass of literature on o</w:t>
      </w:r>
      <w:r w:rsidRPr="005C0A17">
        <w:rPr>
          <w:rFonts w:ascii="Times New Roman" w:hAnsi="Times New Roman" w:cs="Times New Roman"/>
        </w:rPr>
        <w:t>rder effects</w:t>
      </w:r>
      <w:r>
        <w:rPr>
          <w:rFonts w:ascii="Times New Roman" w:hAnsi="Times New Roman" w:cs="Times New Roman"/>
        </w:rPr>
        <w:t>,</w:t>
      </w:r>
      <w:r w:rsidRPr="005C0A17">
        <w:rPr>
          <w:rFonts w:ascii="Times New Roman" w:hAnsi="Times New Roman" w:cs="Times New Roman"/>
        </w:rPr>
        <w:t xml:space="preserve"> </w:t>
      </w:r>
      <w:r>
        <w:rPr>
          <w:rFonts w:ascii="Times New Roman" w:hAnsi="Times New Roman" w:cs="Times New Roman"/>
        </w:rPr>
        <w:t xml:space="preserve">there is inconsistency to </w:t>
      </w:r>
      <w:r w:rsidRPr="005C0A17">
        <w:rPr>
          <w:rFonts w:ascii="Times New Roman" w:hAnsi="Times New Roman" w:cs="Times New Roman"/>
        </w:rPr>
        <w:t>whether order effects encourage assimilation or contrast (Carlson</w:t>
      </w:r>
      <w:r>
        <w:rPr>
          <w:rFonts w:ascii="Times New Roman" w:hAnsi="Times New Roman" w:cs="Times New Roman"/>
        </w:rPr>
        <w:t xml:space="preserve"> et al., </w:t>
      </w:r>
      <w:r w:rsidRPr="005C0A17">
        <w:rPr>
          <w:rFonts w:ascii="Times New Roman" w:hAnsi="Times New Roman" w:cs="Times New Roman"/>
        </w:rPr>
        <w:t>1995; Schwarz, Strack</w:t>
      </w:r>
      <w:r>
        <w:rPr>
          <w:rFonts w:ascii="Times New Roman" w:hAnsi="Times New Roman" w:cs="Times New Roman"/>
        </w:rPr>
        <w:t>,</w:t>
      </w:r>
      <w:r w:rsidRPr="005C0A17">
        <w:rPr>
          <w:rFonts w:ascii="Times New Roman" w:hAnsi="Times New Roman" w:cs="Times New Roman"/>
        </w:rPr>
        <w:t xml:space="preserve"> &amp; Mai, 1991; Tourangeau &amp; Rasinski, 1998). </w:t>
      </w:r>
      <w:r>
        <w:rPr>
          <w:rFonts w:ascii="Times New Roman" w:hAnsi="Times New Roman" w:cs="Times New Roman"/>
        </w:rPr>
        <w:t xml:space="preserve">Though assimilation and contrast effects have been found to occur separately, some meta-analyses identified combinations of these effects occurring </w:t>
      </w:r>
      <w:r w:rsidRPr="00255169">
        <w:rPr>
          <w:rFonts w:ascii="Times New Roman" w:hAnsi="Times New Roman" w:cs="Times New Roman"/>
        </w:rPr>
        <w:t xml:space="preserve">(e.g. Schuman &amp; Presser, 1987; Strack et al., 1988). </w:t>
      </w:r>
      <w:r>
        <w:rPr>
          <w:rFonts w:ascii="Times New Roman" w:hAnsi="Times New Roman" w:cs="Times New Roman"/>
        </w:rPr>
        <w:t>It is clear that specific-general questionnaire combinations tend to be more susceptible to order effects, however these effects do not always occur, even when expected, and are therefore difficult to predict (Schuman &amp; Presser, 1987; Tourangeau &amp; Rasinski, 1988). Order effects have also been seen across different countries and languages (Lee &amp; Grant, 2009). Although o</w:t>
      </w:r>
      <w:r w:rsidRPr="005C0A17">
        <w:rPr>
          <w:rFonts w:ascii="Times New Roman" w:hAnsi="Times New Roman" w:cs="Times New Roman"/>
        </w:rPr>
        <w:t xml:space="preserve">rder effects are well-documented </w:t>
      </w:r>
      <w:r>
        <w:rPr>
          <w:rFonts w:ascii="Times New Roman" w:hAnsi="Times New Roman" w:cs="Times New Roman"/>
        </w:rPr>
        <w:t>in the literature, their capacity to influence responses to wellbeing measures are not well</w:t>
      </w:r>
      <w:r w:rsidRPr="005C0A17">
        <w:rPr>
          <w:rFonts w:ascii="Times New Roman" w:hAnsi="Times New Roman" w:cs="Times New Roman"/>
        </w:rPr>
        <w:t xml:space="preserve"> understood.</w:t>
      </w:r>
      <w:r>
        <w:rPr>
          <w:rFonts w:ascii="Times New Roman" w:hAnsi="Times New Roman" w:cs="Times New Roman"/>
        </w:rPr>
        <w:t xml:space="preserve"> </w:t>
      </w:r>
    </w:p>
    <w:p w:rsidR="00805261" w:rsidRPr="004B6054" w:rsidRDefault="00805261" w:rsidP="00805261">
      <w:pPr>
        <w:spacing w:after="240" w:line="360" w:lineRule="auto"/>
        <w:jc w:val="center"/>
        <w:rPr>
          <w:rFonts w:ascii="Times New Roman" w:hAnsi="Times New Roman" w:cs="Times New Roman"/>
          <w:b/>
        </w:rPr>
      </w:pPr>
      <w:r>
        <w:rPr>
          <w:rFonts w:ascii="Times New Roman" w:hAnsi="Times New Roman" w:cs="Times New Roman"/>
          <w:b/>
        </w:rPr>
        <w:t>4. Studying the Personal Wellbeing Index (PWI)</w:t>
      </w:r>
    </w:p>
    <w:p w:rsidR="00805261" w:rsidRPr="004E57B7" w:rsidRDefault="00805261" w:rsidP="00805261">
      <w:pPr>
        <w:spacing w:after="240" w:line="360" w:lineRule="auto"/>
        <w:ind w:firstLine="720"/>
        <w:rPr>
          <w:rFonts w:ascii="Times New Roman" w:hAnsi="Times New Roman" w:cs="Times New Roman"/>
        </w:rPr>
      </w:pPr>
      <w:r>
        <w:rPr>
          <w:rFonts w:ascii="Times New Roman" w:hAnsi="Times New Roman" w:cs="Times New Roman"/>
        </w:rPr>
        <w:t xml:space="preserve">The PWI </w:t>
      </w:r>
      <w:r w:rsidRPr="00222FB0">
        <w:rPr>
          <w:rFonts w:ascii="Times New Roman" w:hAnsi="Times New Roman" w:cs="Times New Roman"/>
        </w:rPr>
        <w:t>(Inter</w:t>
      </w:r>
      <w:r>
        <w:rPr>
          <w:rFonts w:ascii="Times New Roman" w:hAnsi="Times New Roman" w:cs="Times New Roman"/>
        </w:rPr>
        <w:t xml:space="preserve">national Wellbeing Group, 2013) constitutes an ideal measure of wellbeing to test order effects. Although the PWI itself is seven specific domain items, it is administered following a single general item that asks how satisfied an individual is with their life as a whole. </w:t>
      </w:r>
      <w:r w:rsidRPr="00222FB0">
        <w:rPr>
          <w:rFonts w:ascii="Times New Roman" w:hAnsi="Times New Roman" w:cs="Times New Roman"/>
        </w:rPr>
        <w:t>The PWI states a specific order for the questions to be presented, with general life satisfaction</w:t>
      </w:r>
      <w:r>
        <w:rPr>
          <w:rFonts w:ascii="Times New Roman" w:hAnsi="Times New Roman" w:cs="Times New Roman"/>
        </w:rPr>
        <w:t xml:space="preserve"> </w:t>
      </w:r>
      <w:r w:rsidRPr="00222FB0">
        <w:rPr>
          <w:rFonts w:ascii="Times New Roman" w:hAnsi="Times New Roman" w:cs="Times New Roman"/>
        </w:rPr>
        <w:t>to be asked prior to satisfaction in particular life domains</w:t>
      </w:r>
      <w:r>
        <w:rPr>
          <w:rFonts w:ascii="Times New Roman" w:hAnsi="Times New Roman" w:cs="Times New Roman"/>
        </w:rPr>
        <w:t xml:space="preserve">, general-specific (International Wellbeing Group, 2013). </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The PWI has a purposeful construction, such that each life domain has been studied to ensure each domain contributes unique variance in a multiple regression to predict overall life satisfaction (International Wellbeing Group, 2013). The instrument has high construct validity in the fact that the shared and unique variance of these domains typically explaining 40-60 of the variance in general life satisfaction (International Wellbeing Group, 2013). The reliability of the PWI is also high, with Cronbach’s alpha lying between .70 and .85 both nationally and internationally and test-retest reliability is high with a correlation coefficient at 0.84 (Lau &amp; Cummins, 2005). Based on these figures, the psychometric properties of the PWI have been well-established, and the tool is seen as a reliable, valid and sensitive instrument to measure SWB (Cummins, Eckersley, Pallant, Vugt &amp; Misajon, 2003).</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Though there has been much research on the psychometric properties of t</w:t>
      </w:r>
      <w:r w:rsidRPr="00A377B7">
        <w:rPr>
          <w:rFonts w:ascii="Times New Roman" w:hAnsi="Times New Roman" w:cs="Times New Roman"/>
        </w:rPr>
        <w:t>he PWI</w:t>
      </w:r>
      <w:r>
        <w:rPr>
          <w:rFonts w:ascii="Times New Roman" w:hAnsi="Times New Roman" w:cs="Times New Roman"/>
        </w:rPr>
        <w:t>,</w:t>
      </w:r>
      <w:r w:rsidRPr="00A377B7">
        <w:rPr>
          <w:rFonts w:ascii="Times New Roman" w:hAnsi="Times New Roman" w:cs="Times New Roman"/>
        </w:rPr>
        <w:t xml:space="preserve"> </w:t>
      </w:r>
      <w:r>
        <w:rPr>
          <w:rFonts w:ascii="Times New Roman" w:hAnsi="Times New Roman" w:cs="Times New Roman"/>
        </w:rPr>
        <w:t>it</w:t>
      </w:r>
      <w:r w:rsidRPr="00A377B7">
        <w:rPr>
          <w:rFonts w:ascii="Times New Roman" w:hAnsi="Times New Roman" w:cs="Times New Roman"/>
        </w:rPr>
        <w:t xml:space="preserve"> has never been investigated</w:t>
      </w:r>
      <w:r>
        <w:rPr>
          <w:rFonts w:ascii="Times New Roman" w:hAnsi="Times New Roman" w:cs="Times New Roman"/>
        </w:rPr>
        <w:t xml:space="preserve"> with regard to order effects. The PWI is used internationally and specified for different population subsets (see: </w:t>
      </w:r>
      <w:r w:rsidRPr="00E11CB3">
        <w:rPr>
          <w:rFonts w:ascii="Times New Roman" w:hAnsi="Times New Roman" w:cs="Times New Roman"/>
        </w:rPr>
        <w:t>http://www.deakin.edu.au/research/acqol/index.php</w:t>
      </w:r>
      <w:r>
        <w:rPr>
          <w:rFonts w:ascii="Times New Roman" w:hAnsi="Times New Roman" w:cs="Times New Roman"/>
        </w:rPr>
        <w:t xml:space="preserve">) therefore the impact of this measure being accurate is detrimental to a diverse range of individuals. </w:t>
      </w:r>
    </w:p>
    <w:p w:rsidR="00805261" w:rsidRPr="004B6054" w:rsidRDefault="00805261" w:rsidP="00805261">
      <w:pPr>
        <w:spacing w:after="240" w:line="360" w:lineRule="auto"/>
        <w:jc w:val="center"/>
        <w:rPr>
          <w:rFonts w:ascii="Times New Roman" w:hAnsi="Times New Roman" w:cs="Times New Roman"/>
          <w:color w:val="FF0000"/>
        </w:rPr>
      </w:pPr>
      <w:r>
        <w:rPr>
          <w:rFonts w:ascii="Times New Roman" w:hAnsi="Times New Roman" w:cs="Times New Roman"/>
          <w:b/>
        </w:rPr>
        <w:t>5. Research Aims and H</w:t>
      </w:r>
      <w:r w:rsidRPr="004B6054">
        <w:rPr>
          <w:rFonts w:ascii="Times New Roman" w:hAnsi="Times New Roman" w:cs="Times New Roman"/>
          <w:b/>
        </w:rPr>
        <w:t>ypotheses</w:t>
      </w:r>
    </w:p>
    <w:p w:rsidR="00805261" w:rsidRDefault="00805261" w:rsidP="00805261">
      <w:pPr>
        <w:spacing w:after="240" w:line="360" w:lineRule="auto"/>
        <w:ind w:firstLine="720"/>
        <w:rPr>
          <w:rFonts w:ascii="Times New Roman" w:hAnsi="Times New Roman" w:cs="Times New Roman"/>
        </w:rPr>
      </w:pPr>
      <w:r w:rsidRPr="00527F81">
        <w:rPr>
          <w:rFonts w:ascii="Times New Roman" w:hAnsi="Times New Roman" w:cs="Times New Roman"/>
        </w:rPr>
        <w:t xml:space="preserve">For the current study, the psychometric properties of the PWI will be investigated within the context of order effects. The </w:t>
      </w:r>
      <w:r>
        <w:rPr>
          <w:rFonts w:ascii="Times New Roman" w:hAnsi="Times New Roman" w:cs="Times New Roman"/>
        </w:rPr>
        <w:t>specific aim is to</w:t>
      </w:r>
      <w:r w:rsidRPr="00527F81">
        <w:rPr>
          <w:rFonts w:ascii="Times New Roman" w:hAnsi="Times New Roman" w:cs="Times New Roman"/>
        </w:rPr>
        <w:t xml:space="preserve"> investigate</w:t>
      </w:r>
      <w:r>
        <w:rPr>
          <w:rFonts w:ascii="Times New Roman" w:hAnsi="Times New Roman" w:cs="Times New Roman"/>
        </w:rPr>
        <w:t xml:space="preserve"> whether</w:t>
      </w:r>
      <w:r w:rsidRPr="00527F81">
        <w:rPr>
          <w:rFonts w:ascii="Times New Roman" w:hAnsi="Times New Roman" w:cs="Times New Roman"/>
        </w:rPr>
        <w:t xml:space="preserve"> order effects</w:t>
      </w:r>
      <w:r>
        <w:rPr>
          <w:rFonts w:ascii="Times New Roman" w:hAnsi="Times New Roman" w:cs="Times New Roman"/>
        </w:rPr>
        <w:t xml:space="preserve"> influence responses</w:t>
      </w:r>
      <w:r w:rsidRPr="00527F81">
        <w:rPr>
          <w:rFonts w:ascii="Times New Roman" w:hAnsi="Times New Roman" w:cs="Times New Roman"/>
        </w:rPr>
        <w:t xml:space="preserve"> </w:t>
      </w:r>
      <w:r>
        <w:rPr>
          <w:rFonts w:ascii="Times New Roman" w:hAnsi="Times New Roman" w:cs="Times New Roman"/>
        </w:rPr>
        <w:t xml:space="preserve">to the PWI. The general life satisfaction question will be repositioned in the questionnaire to follow the specific life domain questions (i.e., specific-general format), in contrast to the traditional general-specific format specified in the PWI manual. </w:t>
      </w:r>
    </w:p>
    <w:p w:rsidR="00805261" w:rsidRDefault="00805261" w:rsidP="00805261">
      <w:pPr>
        <w:spacing w:after="240" w:line="360" w:lineRule="auto"/>
        <w:ind w:firstLine="720"/>
        <w:rPr>
          <w:rFonts w:ascii="Times New Roman" w:hAnsi="Times New Roman" w:cs="Times New Roman"/>
        </w:rPr>
      </w:pPr>
      <w:r>
        <w:rPr>
          <w:rFonts w:ascii="Times New Roman" w:hAnsi="Times New Roman" w:cs="Times New Roman"/>
        </w:rPr>
        <w:t>Although there is speculation that a specific-general order effect may influence responses to wellbeing questionnaires such as the PWI, the PWI has a great reputation as a psychometrically valid and reliable tool. With respect to the international credibility of the PWI, and the nature of the SWB construct, it is hypothesised that changing the PWI from general-specific to specific-general format will not significantly affect scores on the measure.</w:t>
      </w:r>
    </w:p>
    <w:p w:rsidR="00805261" w:rsidRPr="004B6054" w:rsidRDefault="00805261" w:rsidP="00805261">
      <w:pPr>
        <w:spacing w:after="240" w:line="360" w:lineRule="auto"/>
        <w:jc w:val="center"/>
        <w:rPr>
          <w:rFonts w:ascii="Times New Roman" w:hAnsi="Times New Roman" w:cs="Times New Roman"/>
          <w:b/>
        </w:rPr>
      </w:pPr>
      <w:r>
        <w:rPr>
          <w:rFonts w:ascii="Times New Roman" w:hAnsi="Times New Roman" w:cs="Times New Roman"/>
          <w:b/>
        </w:rPr>
        <w:t>6</w:t>
      </w:r>
      <w:r w:rsidRPr="004B6054">
        <w:rPr>
          <w:rFonts w:ascii="Times New Roman" w:hAnsi="Times New Roman" w:cs="Times New Roman"/>
          <w:b/>
        </w:rPr>
        <w:t>. Conclusion</w:t>
      </w:r>
    </w:p>
    <w:p w:rsidR="00805261" w:rsidRPr="00863332" w:rsidRDefault="00805261" w:rsidP="00805261">
      <w:pPr>
        <w:spacing w:after="240" w:line="360" w:lineRule="auto"/>
        <w:rPr>
          <w:rFonts w:ascii="Times New Roman" w:hAnsi="Times New Roman" w:cs="Times New Roman"/>
        </w:rPr>
      </w:pPr>
      <w:r w:rsidRPr="00863332">
        <w:rPr>
          <w:rFonts w:ascii="Times New Roman" w:hAnsi="Times New Roman" w:cs="Times New Roman"/>
        </w:rPr>
        <w:tab/>
        <w:t>Order effects are an important consideration when undertaking methodological research, though they are consistently overlooked (Schuman &amp; Presser, 1987). If order effects influence responses to the PWI, the construction of the tool, and its ability to measure SWB, will be called into question. Further, this understanding of order effects could have implications for other measurement tools. Thus, determining the influence of order effects in the PWI will not only contribute to understanding of the psychometric properties of this measure, but will extend the understanding of the ways in which order e</w:t>
      </w:r>
      <w:r>
        <w:rPr>
          <w:rFonts w:ascii="Times New Roman" w:hAnsi="Times New Roman" w:cs="Times New Roman"/>
        </w:rPr>
        <w:t>ffects influence responses to questionnaires</w:t>
      </w:r>
      <w:r w:rsidRPr="00863332">
        <w:rPr>
          <w:rFonts w:ascii="Times New Roman" w:hAnsi="Times New Roman" w:cs="Times New Roman"/>
        </w:rPr>
        <w:t xml:space="preserve"> in general. </w:t>
      </w:r>
    </w:p>
    <w:p w:rsidR="00805261" w:rsidRDefault="00805261" w:rsidP="00805261">
      <w:pPr>
        <w:spacing w:after="240" w:line="360" w:lineRule="auto"/>
        <w:rPr>
          <w:rFonts w:ascii="Times New Roman" w:hAnsi="Times New Roman" w:cs="Times New Roman"/>
        </w:rPr>
      </w:pPr>
      <w:r>
        <w:rPr>
          <w:rFonts w:ascii="Times New Roman" w:hAnsi="Times New Roman" w:cs="Times New Roman"/>
        </w:rPr>
        <w:br w:type="page"/>
      </w:r>
    </w:p>
    <w:p w:rsidR="00805261" w:rsidRPr="00747562" w:rsidRDefault="00805261" w:rsidP="00805261">
      <w:pPr>
        <w:spacing w:line="360" w:lineRule="auto"/>
        <w:jc w:val="center"/>
        <w:rPr>
          <w:rFonts w:ascii="Times New Roman" w:hAnsi="Times New Roman" w:cs="Times New Roman"/>
        </w:rPr>
      </w:pPr>
      <w:r w:rsidRPr="0030670C">
        <w:rPr>
          <w:rFonts w:ascii="Times New Roman" w:hAnsi="Times New Roman" w:cs="Times New Roman"/>
        </w:rPr>
        <w:t>References</w:t>
      </w:r>
    </w:p>
    <w:p w:rsidR="00805261" w:rsidRDefault="00805261" w:rsidP="00805261">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Blore, J. D., Stokes, M. A., Mellor, D., Firth, L., &amp; Cummins, R. A. (2011). Comparing Multiple Discrepancies Theory to Affective Models of Subjective Wellbeing. </w:t>
      </w:r>
      <w:r>
        <w:rPr>
          <w:rFonts w:ascii="Times New Roman" w:hAnsi="Times New Roman" w:cs="Times New Roman"/>
          <w:i/>
          <w:lang w:eastAsia="en-AU"/>
        </w:rPr>
        <w:t>Social Indicators Research, 100</w:t>
      </w:r>
      <w:r>
        <w:rPr>
          <w:rFonts w:ascii="Times New Roman" w:hAnsi="Times New Roman" w:cs="Times New Roman"/>
          <w:lang w:eastAsia="en-AU"/>
        </w:rPr>
        <w:t>(1), 1-16.</w:t>
      </w:r>
    </w:p>
    <w:p w:rsidR="00805261" w:rsidRDefault="00805261" w:rsidP="00805261">
      <w:pPr>
        <w:spacing w:line="360" w:lineRule="auto"/>
        <w:ind w:left="709" w:hanging="709"/>
        <w:rPr>
          <w:rFonts w:ascii="Times New Roman" w:hAnsi="Times New Roman" w:cs="Times New Roman"/>
        </w:rPr>
      </w:pPr>
      <w:r>
        <w:rPr>
          <w:rFonts w:ascii="Times New Roman" w:hAnsi="Times New Roman" w:cs="Times New Roman"/>
          <w:lang w:eastAsia="en-AU"/>
        </w:rPr>
        <w:t>Brickman, P., Coates, D., &amp; Janoff-Bulman</w:t>
      </w:r>
      <w:r w:rsidRPr="004A1143">
        <w:rPr>
          <w:rFonts w:ascii="Times New Roman" w:hAnsi="Times New Roman" w:cs="Times New Roman"/>
          <w:lang w:eastAsia="en-AU"/>
        </w:rPr>
        <w:t xml:space="preserve">, R. (1978). Lottery winners and accident victims- Is happiness relative? </w:t>
      </w:r>
      <w:r w:rsidRPr="004A1143">
        <w:rPr>
          <w:rFonts w:ascii="Times New Roman" w:hAnsi="Times New Roman" w:cs="Times New Roman"/>
          <w:i/>
          <w:lang w:eastAsia="en-AU"/>
        </w:rPr>
        <w:t>Journal of Personality and Social Psychology, 36</w:t>
      </w:r>
      <w:r w:rsidRPr="004A1143">
        <w:rPr>
          <w:rFonts w:ascii="Times New Roman" w:hAnsi="Times New Roman" w:cs="Times New Roman"/>
          <w:lang w:eastAsia="en-AU"/>
        </w:rPr>
        <w:t xml:space="preserve">(8), 917-927. Doi: </w:t>
      </w:r>
      <w:r w:rsidRPr="004A1143">
        <w:rPr>
          <w:rFonts w:ascii="Times New Roman" w:hAnsi="Times New Roman" w:cs="Times New Roman"/>
        </w:rPr>
        <w:t>10.1037/0022-3514.36.8.917.</w:t>
      </w:r>
    </w:p>
    <w:p w:rsidR="00805261" w:rsidRPr="004A1143" w:rsidRDefault="00805261" w:rsidP="00805261">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Carlson, J. E., Mason, R., Saltiel, J., &amp; Sangster. R. (1995). Assimilation and Contrast Effects in General/Specific Questions. </w:t>
      </w:r>
      <w:r>
        <w:rPr>
          <w:rFonts w:ascii="Times New Roman" w:hAnsi="Times New Roman" w:cs="Times New Roman"/>
          <w:i/>
          <w:lang w:eastAsia="en-AU"/>
        </w:rPr>
        <w:t>Rural Sociology, 60</w:t>
      </w:r>
      <w:r>
        <w:rPr>
          <w:rFonts w:ascii="Times New Roman" w:hAnsi="Times New Roman" w:cs="Times New Roman"/>
          <w:lang w:eastAsia="en-AU"/>
        </w:rPr>
        <w:t xml:space="preserve">(4), 666-673. </w:t>
      </w:r>
    </w:p>
    <w:p w:rsidR="00805261" w:rsidRDefault="00805261" w:rsidP="00805261">
      <w:pPr>
        <w:spacing w:line="360" w:lineRule="auto"/>
        <w:ind w:left="709" w:hanging="709"/>
        <w:rPr>
          <w:rFonts w:ascii="Times New Roman" w:hAnsi="Times New Roman" w:cs="Times New Roman"/>
          <w:lang w:eastAsia="en-AU"/>
        </w:rPr>
      </w:pPr>
      <w:r w:rsidRPr="004A1143">
        <w:rPr>
          <w:rFonts w:ascii="Times New Roman" w:hAnsi="Times New Roman" w:cs="Times New Roman"/>
          <w:lang w:eastAsia="en-AU"/>
        </w:rPr>
        <w:t xml:space="preserve">Cummins, R. (2010). Subjective Wellbeing, Homeostatically Protected Mood and Depression: A Synthesis. </w:t>
      </w:r>
      <w:r w:rsidRPr="004A1143">
        <w:rPr>
          <w:rFonts w:ascii="Times New Roman" w:hAnsi="Times New Roman" w:cs="Times New Roman"/>
          <w:i/>
          <w:lang w:eastAsia="en-AU"/>
        </w:rPr>
        <w:t>Journal of Happiness Studies, 11</w:t>
      </w:r>
      <w:r w:rsidRPr="004A1143">
        <w:rPr>
          <w:rFonts w:ascii="Times New Roman" w:hAnsi="Times New Roman" w:cs="Times New Roman"/>
          <w:lang w:eastAsia="en-AU"/>
        </w:rPr>
        <w:t xml:space="preserve">(1), 1-17. Doi: 10.1007/s10902-009-9167-0. </w:t>
      </w:r>
    </w:p>
    <w:p w:rsidR="00805261" w:rsidRDefault="00805261" w:rsidP="00805261">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Cummins, R. A. (1995). </w:t>
      </w:r>
      <w:r w:rsidRPr="0014107C">
        <w:rPr>
          <w:rFonts w:ascii="Times New Roman" w:hAnsi="Times New Roman" w:cs="Times New Roman"/>
          <w:lang w:eastAsia="en-AU"/>
        </w:rPr>
        <w:t xml:space="preserve">On the trail of the gold standard for subjective well-being. </w:t>
      </w:r>
      <w:r w:rsidRPr="0014107C">
        <w:rPr>
          <w:rFonts w:ascii="Times New Roman" w:hAnsi="Times New Roman" w:cs="Times New Roman"/>
          <w:i/>
          <w:lang w:eastAsia="en-AU"/>
        </w:rPr>
        <w:t>Social Indicators Research, 35</w:t>
      </w:r>
      <w:r w:rsidRPr="0014107C">
        <w:rPr>
          <w:rFonts w:ascii="Times New Roman" w:hAnsi="Times New Roman" w:cs="Times New Roman"/>
          <w:lang w:eastAsia="en-AU"/>
        </w:rPr>
        <w:t xml:space="preserve">(2), 179-200. </w:t>
      </w:r>
    </w:p>
    <w:p w:rsidR="00805261" w:rsidRPr="00F2252E" w:rsidRDefault="00805261" w:rsidP="00805261">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Cummins, R. A., Eckersley, R., Pallant, J., Van Vugt, J., &amp; Misajon, R. (2003). Developing a National Index of Subjective Wellbeing: The Australian Unity Wellbeing Index. </w:t>
      </w:r>
      <w:r>
        <w:rPr>
          <w:rFonts w:ascii="Times New Roman" w:hAnsi="Times New Roman" w:cs="Times New Roman"/>
          <w:i/>
          <w:lang w:eastAsia="en-AU"/>
        </w:rPr>
        <w:t xml:space="preserve">Social Indicators Research, 64, </w:t>
      </w:r>
      <w:r>
        <w:rPr>
          <w:rFonts w:ascii="Times New Roman" w:hAnsi="Times New Roman" w:cs="Times New Roman"/>
          <w:lang w:eastAsia="en-AU"/>
        </w:rPr>
        <w:t>159-190.</w:t>
      </w:r>
    </w:p>
    <w:p w:rsidR="00805261" w:rsidRPr="0014107C" w:rsidRDefault="00805261" w:rsidP="00805261">
      <w:pPr>
        <w:spacing w:line="360" w:lineRule="auto"/>
        <w:ind w:left="709" w:hanging="709"/>
        <w:rPr>
          <w:rFonts w:ascii="Times New Roman" w:hAnsi="Times New Roman" w:cs="Times New Roman"/>
        </w:rPr>
      </w:pPr>
      <w:r w:rsidRPr="0014107C">
        <w:rPr>
          <w:rFonts w:ascii="Times New Roman" w:hAnsi="Times New Roman" w:cs="Times New Roman"/>
        </w:rPr>
        <w:t xml:space="preserve">Cummins, R.A., &amp; Gullone, E. (2000) </w:t>
      </w:r>
      <w:r w:rsidRPr="0014107C">
        <w:rPr>
          <w:rFonts w:ascii="Times New Roman" w:hAnsi="Times New Roman" w:cs="Times New Roman"/>
          <w:bCs/>
        </w:rPr>
        <w:t>Why we should not use 5-point Likert scales: The case for subjective quality of</w:t>
      </w:r>
      <w:r w:rsidRPr="0014107C">
        <w:rPr>
          <w:rFonts w:ascii="Times New Roman" w:hAnsi="Times New Roman" w:cs="Times New Roman"/>
        </w:rPr>
        <w:t xml:space="preserve"> life measurement. </w:t>
      </w:r>
      <w:r w:rsidRPr="0014107C">
        <w:rPr>
          <w:rStyle w:val="Emphasis"/>
          <w:rFonts w:ascii="Times New Roman" w:hAnsi="Times New Roman" w:cs="Times New Roman"/>
        </w:rPr>
        <w:t>Proceedings of the Second International Conference on Quality of Life in Cities</w:t>
      </w:r>
      <w:r w:rsidRPr="0014107C">
        <w:rPr>
          <w:rFonts w:ascii="Times New Roman" w:hAnsi="Times New Roman" w:cs="Times New Roman"/>
        </w:rPr>
        <w:t>, 74-93, National University of Singapore, Singapore.</w:t>
      </w:r>
    </w:p>
    <w:p w:rsidR="00805261" w:rsidRDefault="00805261" w:rsidP="00805261">
      <w:pPr>
        <w:spacing w:line="360" w:lineRule="auto"/>
        <w:ind w:left="709" w:hanging="709"/>
        <w:rPr>
          <w:rFonts w:ascii="Times New Roman" w:hAnsi="Times New Roman" w:cs="Times New Roman"/>
          <w:lang w:eastAsia="en-AU"/>
        </w:rPr>
      </w:pPr>
      <w:r w:rsidRPr="0014107C">
        <w:rPr>
          <w:rFonts w:ascii="Times New Roman" w:hAnsi="Times New Roman" w:cs="Times New Roman"/>
          <w:lang w:eastAsia="en-AU"/>
        </w:rPr>
        <w:t>Cummins, R. A., Lau, A. A. L. D., Mellor, D., &amp; Stokes, M. A. (2008). Encouraging Governments to Enhance the Happiness of Their Nation</w:t>
      </w:r>
      <w:r w:rsidRPr="006E5777">
        <w:rPr>
          <w:rFonts w:ascii="Times New Roman" w:hAnsi="Times New Roman" w:cs="Times New Roman"/>
          <w:lang w:eastAsia="en-AU"/>
        </w:rPr>
        <w:t xml:space="preserve">: Step 1: Understand Subjective Wellbeing. </w:t>
      </w:r>
      <w:r w:rsidRPr="006E5777">
        <w:rPr>
          <w:rFonts w:ascii="Times New Roman" w:hAnsi="Times New Roman" w:cs="Times New Roman"/>
          <w:i/>
          <w:lang w:eastAsia="en-AU"/>
        </w:rPr>
        <w:t>Social Indicators Research, 91</w:t>
      </w:r>
      <w:r w:rsidRPr="006E5777">
        <w:rPr>
          <w:rFonts w:ascii="Times New Roman" w:hAnsi="Times New Roman" w:cs="Times New Roman"/>
          <w:lang w:eastAsia="en-AU"/>
        </w:rPr>
        <w:t>(1), 23-36.</w:t>
      </w:r>
    </w:p>
    <w:p w:rsidR="00805261" w:rsidRPr="00774ECA" w:rsidRDefault="00805261" w:rsidP="00805261">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Cummins, R. A., Li, N., Wooden, M., &amp; Stokes, M. (2014). A </w:t>
      </w:r>
      <w:r w:rsidRPr="00774ECA">
        <w:rPr>
          <w:rFonts w:ascii="Times New Roman" w:hAnsi="Times New Roman" w:cs="Times New Roman"/>
          <w:lang w:eastAsia="en-AU"/>
        </w:rPr>
        <w:t xml:space="preserve">demonstration of set-points for subjective wellbeing. </w:t>
      </w:r>
      <w:r w:rsidRPr="00774ECA">
        <w:rPr>
          <w:rFonts w:ascii="Times New Roman" w:hAnsi="Times New Roman" w:cs="Times New Roman"/>
          <w:i/>
          <w:lang w:eastAsia="en-AU"/>
        </w:rPr>
        <w:t>Journal of Happiness Studies, 15</w:t>
      </w:r>
      <w:r w:rsidRPr="00774ECA">
        <w:rPr>
          <w:rFonts w:ascii="Times New Roman" w:hAnsi="Times New Roman" w:cs="Times New Roman"/>
          <w:lang w:eastAsia="en-AU"/>
        </w:rPr>
        <w:t xml:space="preserve">(1), 183-206. Doi: </w:t>
      </w:r>
      <w:r w:rsidRPr="00774ECA">
        <w:rPr>
          <w:rFonts w:ascii="Times New Roman" w:hAnsi="Times New Roman" w:cs="Times New Roman"/>
        </w:rPr>
        <w:t>http://dx.doi.org.ezproxy-m.deakin.edu.au/10.1007/s10902-013-9444-9.</w:t>
      </w:r>
    </w:p>
    <w:p w:rsidR="00805261" w:rsidRPr="005E38D8" w:rsidRDefault="00805261" w:rsidP="00805261">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Cummins, R. A., &amp; Nistico, H. (2002). Maintaining Life Satisfaction: The Role of Positive Cognitive Bias. </w:t>
      </w:r>
      <w:r>
        <w:rPr>
          <w:rFonts w:ascii="Times New Roman" w:hAnsi="Times New Roman" w:cs="Times New Roman"/>
          <w:i/>
          <w:lang w:eastAsia="en-AU"/>
        </w:rPr>
        <w:t>Journal of Happiness Studies, 3</w:t>
      </w:r>
      <w:r>
        <w:rPr>
          <w:rFonts w:ascii="Times New Roman" w:hAnsi="Times New Roman" w:cs="Times New Roman"/>
          <w:lang w:eastAsia="en-AU"/>
        </w:rPr>
        <w:t>(1), 37-69.</w:t>
      </w:r>
    </w:p>
    <w:p w:rsidR="00805261" w:rsidRPr="00556FC0" w:rsidRDefault="00805261" w:rsidP="00805261">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Davern, M. T., Cummins, R. A., &amp; Stokes, M. A. (2007). Subjective wellbeing as an affective-cognitive construct. </w:t>
      </w:r>
      <w:r>
        <w:rPr>
          <w:rFonts w:ascii="Times New Roman" w:hAnsi="Times New Roman" w:cs="Times New Roman"/>
          <w:i/>
          <w:lang w:eastAsia="en-AU"/>
        </w:rPr>
        <w:t>Journal of Happiness Studies, 8</w:t>
      </w:r>
      <w:r>
        <w:rPr>
          <w:rFonts w:ascii="Times New Roman" w:hAnsi="Times New Roman" w:cs="Times New Roman"/>
          <w:lang w:eastAsia="en-AU"/>
        </w:rPr>
        <w:t>(4), 429-449.</w:t>
      </w:r>
    </w:p>
    <w:p w:rsidR="00805261" w:rsidRDefault="00805261" w:rsidP="00805261">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Diener, E. (2006). Guidelines for National Indicators of Subjective Well-being and Ill-being. </w:t>
      </w:r>
      <w:r>
        <w:rPr>
          <w:rFonts w:ascii="Times New Roman" w:hAnsi="Times New Roman" w:cs="Times New Roman"/>
          <w:i/>
          <w:lang w:eastAsia="en-AU"/>
        </w:rPr>
        <w:t>Applied Research in Quality of Life, 1</w:t>
      </w:r>
      <w:r>
        <w:rPr>
          <w:rFonts w:ascii="Times New Roman" w:hAnsi="Times New Roman" w:cs="Times New Roman"/>
          <w:lang w:eastAsia="en-AU"/>
        </w:rPr>
        <w:t>(2), 151-157.</w:t>
      </w:r>
    </w:p>
    <w:p w:rsidR="00805261" w:rsidRDefault="00805261" w:rsidP="00805261">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Diener, E., &amp; Diener, C. (1996). Most People are Happy. </w:t>
      </w:r>
      <w:r>
        <w:rPr>
          <w:rFonts w:ascii="Times New Roman" w:hAnsi="Times New Roman" w:cs="Times New Roman"/>
          <w:i/>
          <w:lang w:eastAsia="en-AU"/>
        </w:rPr>
        <w:t>Psychological Science, 7</w:t>
      </w:r>
      <w:r>
        <w:rPr>
          <w:rFonts w:ascii="Times New Roman" w:hAnsi="Times New Roman" w:cs="Times New Roman"/>
          <w:lang w:eastAsia="en-AU"/>
        </w:rPr>
        <w:t xml:space="preserve">(3), 181-185. </w:t>
      </w:r>
    </w:p>
    <w:p w:rsidR="00805261" w:rsidRPr="00037BD3" w:rsidRDefault="00805261" w:rsidP="00805261">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Diener, E., Emmons, R. A., Larsen, R. J., &amp; Griffin, S. (1985). The Satisfaction With Life Scale. </w:t>
      </w:r>
      <w:r>
        <w:rPr>
          <w:rFonts w:ascii="Times New Roman" w:hAnsi="Times New Roman" w:cs="Times New Roman"/>
          <w:i/>
          <w:lang w:eastAsia="en-AU"/>
        </w:rPr>
        <w:t>Journal of Personality Assessment, 49</w:t>
      </w:r>
      <w:r>
        <w:rPr>
          <w:rFonts w:ascii="Times New Roman" w:hAnsi="Times New Roman" w:cs="Times New Roman"/>
          <w:lang w:eastAsia="en-AU"/>
        </w:rPr>
        <w:t>(1), 71-76.</w:t>
      </w:r>
    </w:p>
    <w:p w:rsidR="00805261" w:rsidRPr="006E5777" w:rsidRDefault="00805261" w:rsidP="00805261">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Diener, E., Suh, E. M., Lucas, R. E., &amp; Smith, H. L. (1999). Subjective Well-being: Three Decades of Progress. </w:t>
      </w:r>
      <w:r>
        <w:rPr>
          <w:rFonts w:ascii="Times New Roman" w:hAnsi="Times New Roman" w:cs="Times New Roman"/>
          <w:i/>
          <w:lang w:eastAsia="en-AU"/>
        </w:rPr>
        <w:t>Psychological Bulletin, 125</w:t>
      </w:r>
      <w:r>
        <w:rPr>
          <w:rFonts w:ascii="Times New Roman" w:hAnsi="Times New Roman" w:cs="Times New Roman"/>
          <w:lang w:eastAsia="en-AU"/>
        </w:rPr>
        <w:t>(2</w:t>
      </w:r>
      <w:r w:rsidRPr="006E5777">
        <w:rPr>
          <w:rFonts w:ascii="Times New Roman" w:hAnsi="Times New Roman" w:cs="Times New Roman"/>
          <w:lang w:eastAsia="en-AU"/>
        </w:rPr>
        <w:t xml:space="preserve">), 276-302. Doi: </w:t>
      </w:r>
      <w:r w:rsidRPr="006E5777">
        <w:rPr>
          <w:rFonts w:ascii="Times New Roman" w:hAnsi="Times New Roman" w:cs="Times New Roman"/>
        </w:rPr>
        <w:t>10.1037/0033-2909.125.2.276</w:t>
      </w:r>
      <w:r>
        <w:rPr>
          <w:rFonts w:ascii="Times New Roman" w:hAnsi="Times New Roman" w:cs="Times New Roman"/>
        </w:rPr>
        <w:t>.</w:t>
      </w:r>
    </w:p>
    <w:p w:rsidR="00805261" w:rsidRDefault="00805261" w:rsidP="00805261">
      <w:pPr>
        <w:spacing w:line="360" w:lineRule="auto"/>
        <w:ind w:left="709" w:hanging="709"/>
        <w:rPr>
          <w:rFonts w:ascii="Times New Roman" w:hAnsi="Times New Roman" w:cs="Times New Roman"/>
        </w:rPr>
      </w:pPr>
      <w:r w:rsidRPr="006E5777">
        <w:rPr>
          <w:rFonts w:ascii="Times New Roman" w:hAnsi="Times New Roman" w:cs="Times New Roman"/>
          <w:lang w:eastAsia="en-AU"/>
        </w:rPr>
        <w:t xml:space="preserve">Fredrickson, B. L. (1998). What good are positive emotions? </w:t>
      </w:r>
      <w:r w:rsidRPr="006E5777">
        <w:rPr>
          <w:rFonts w:ascii="Times New Roman" w:hAnsi="Times New Roman" w:cs="Times New Roman"/>
          <w:i/>
          <w:lang w:eastAsia="en-AU"/>
        </w:rPr>
        <w:t>Review of General Psychology, 2</w:t>
      </w:r>
      <w:r w:rsidRPr="006E5777">
        <w:rPr>
          <w:rFonts w:ascii="Times New Roman" w:hAnsi="Times New Roman" w:cs="Times New Roman"/>
          <w:lang w:eastAsia="en-AU"/>
        </w:rPr>
        <w:t xml:space="preserve">(3), 300-319. Doi: </w:t>
      </w:r>
      <w:r w:rsidRPr="006E5777">
        <w:rPr>
          <w:rFonts w:ascii="Times New Roman" w:hAnsi="Times New Roman" w:cs="Times New Roman"/>
        </w:rPr>
        <w:t>10.1037/1089-2680.2.3.300.</w:t>
      </w:r>
    </w:p>
    <w:p w:rsidR="00805261" w:rsidRDefault="00805261" w:rsidP="00805261">
      <w:pPr>
        <w:spacing w:line="360" w:lineRule="auto"/>
        <w:ind w:left="709" w:hanging="709"/>
        <w:rPr>
          <w:rFonts w:ascii="Times New Roman" w:hAnsi="Times New Roman" w:cs="Times New Roman"/>
        </w:rPr>
      </w:pPr>
      <w:r w:rsidRPr="006E5777">
        <w:rPr>
          <w:rFonts w:ascii="Times New Roman" w:hAnsi="Times New Roman" w:cs="Times New Roman"/>
        </w:rPr>
        <w:t xml:space="preserve">International Wellbeing Group (2013). </w:t>
      </w:r>
      <w:r w:rsidRPr="006E5777">
        <w:rPr>
          <w:rFonts w:ascii="Times New Roman" w:hAnsi="Times New Roman" w:cs="Times New Roman"/>
          <w:i/>
        </w:rPr>
        <w:t xml:space="preserve">Personal Wellbeing Index </w:t>
      </w:r>
      <w:r w:rsidRPr="006E5777">
        <w:rPr>
          <w:rFonts w:ascii="Times New Roman" w:hAnsi="Times New Roman" w:cs="Times New Roman"/>
        </w:rPr>
        <w:t>(5th ed.).</w:t>
      </w:r>
      <w:r w:rsidRPr="006E5777">
        <w:rPr>
          <w:rFonts w:ascii="Times New Roman" w:hAnsi="Times New Roman" w:cs="Times New Roman"/>
          <w:i/>
        </w:rPr>
        <w:t xml:space="preserve"> Melbourne: </w:t>
      </w:r>
      <w:r w:rsidRPr="006E5777">
        <w:rPr>
          <w:rFonts w:ascii="Times New Roman" w:hAnsi="Times New Roman" w:cs="Times New Roman"/>
        </w:rPr>
        <w:t xml:space="preserve">Australian Centre on </w:t>
      </w:r>
      <w:r w:rsidRPr="009F2F46">
        <w:rPr>
          <w:rFonts w:ascii="Times New Roman" w:hAnsi="Times New Roman" w:cs="Times New Roman"/>
        </w:rPr>
        <w:t xml:space="preserve">Quality of Life, Deakin University Retrieved from: </w:t>
      </w:r>
      <w:hyperlink r:id="rId10" w:history="1">
        <w:r w:rsidRPr="009F2F46">
          <w:rPr>
            <w:rStyle w:val="Hyperlink"/>
            <w:rFonts w:ascii="Times New Roman" w:hAnsi="Times New Roman" w:cs="Times New Roman"/>
          </w:rPr>
          <w:t>http://www.deakin.edu.au/research/acqol/intruments/wellbeing-index/index.php</w:t>
        </w:r>
      </w:hyperlink>
      <w:r w:rsidRPr="009F2F46">
        <w:rPr>
          <w:rFonts w:ascii="Times New Roman" w:hAnsi="Times New Roman" w:cs="Times New Roman"/>
        </w:rPr>
        <w:t>.</w:t>
      </w:r>
    </w:p>
    <w:p w:rsidR="00805261" w:rsidRPr="009F2F46" w:rsidRDefault="00805261" w:rsidP="00805261">
      <w:pPr>
        <w:spacing w:line="360" w:lineRule="auto"/>
        <w:ind w:left="709" w:hanging="709"/>
        <w:rPr>
          <w:rFonts w:ascii="Times New Roman" w:hAnsi="Times New Roman" w:cs="Times New Roman"/>
        </w:rPr>
      </w:pPr>
      <w:r w:rsidRPr="009F2F46">
        <w:rPr>
          <w:rFonts w:ascii="Times New Roman" w:hAnsi="Times New Roman" w:cs="Times New Roman"/>
        </w:rPr>
        <w:t>Kahneman, D., Krueger, A.</w:t>
      </w:r>
      <w:r>
        <w:rPr>
          <w:rFonts w:ascii="Times New Roman" w:hAnsi="Times New Roman" w:cs="Times New Roman"/>
        </w:rPr>
        <w:t xml:space="preserve"> B.</w:t>
      </w:r>
      <w:r w:rsidRPr="009F2F46">
        <w:rPr>
          <w:rFonts w:ascii="Times New Roman" w:hAnsi="Times New Roman" w:cs="Times New Roman"/>
        </w:rPr>
        <w:t>, Schkade, D.</w:t>
      </w:r>
      <w:r>
        <w:rPr>
          <w:rFonts w:ascii="Times New Roman" w:hAnsi="Times New Roman" w:cs="Times New Roman"/>
        </w:rPr>
        <w:t xml:space="preserve"> A.</w:t>
      </w:r>
      <w:r w:rsidRPr="009F2F46">
        <w:rPr>
          <w:rFonts w:ascii="Times New Roman" w:hAnsi="Times New Roman" w:cs="Times New Roman"/>
        </w:rPr>
        <w:t>, Schwarz, N., Stone</w:t>
      </w:r>
      <w:r>
        <w:rPr>
          <w:rFonts w:ascii="Times New Roman" w:hAnsi="Times New Roman" w:cs="Times New Roman"/>
        </w:rPr>
        <w:t xml:space="preserve">, A. A. (2004). A survey method for </w:t>
      </w:r>
      <w:r w:rsidRPr="009F2F46">
        <w:rPr>
          <w:rFonts w:ascii="Times New Roman" w:hAnsi="Times New Roman" w:cs="Times New Roman"/>
        </w:rPr>
        <w:t>characterizing</w:t>
      </w:r>
      <w:r>
        <w:rPr>
          <w:rFonts w:ascii="Times New Roman" w:hAnsi="Times New Roman" w:cs="Times New Roman"/>
        </w:rPr>
        <w:t xml:space="preserve"> daily life experience: The Day Reconstruction Method. </w:t>
      </w:r>
      <w:r>
        <w:rPr>
          <w:rFonts w:ascii="Times New Roman" w:hAnsi="Times New Roman" w:cs="Times New Roman"/>
          <w:i/>
        </w:rPr>
        <w:t xml:space="preserve">Science, </w:t>
      </w:r>
      <w:r w:rsidRPr="009F2F46">
        <w:rPr>
          <w:rFonts w:ascii="Times New Roman" w:hAnsi="Times New Roman" w:cs="Times New Roman"/>
        </w:rPr>
        <w:t>306</w:t>
      </w:r>
      <w:r>
        <w:rPr>
          <w:rFonts w:ascii="Times New Roman" w:hAnsi="Times New Roman" w:cs="Times New Roman"/>
        </w:rPr>
        <w:t xml:space="preserve">(5702), </w:t>
      </w:r>
      <w:r w:rsidRPr="009F2F46">
        <w:rPr>
          <w:rFonts w:ascii="Times New Roman" w:hAnsi="Times New Roman" w:cs="Times New Roman"/>
        </w:rPr>
        <w:t>1776–1780.</w:t>
      </w:r>
    </w:p>
    <w:p w:rsidR="00805261" w:rsidRPr="006F37A5" w:rsidRDefault="00805261" w:rsidP="00805261">
      <w:pPr>
        <w:spacing w:line="360" w:lineRule="auto"/>
        <w:ind w:left="709" w:hanging="709"/>
        <w:rPr>
          <w:rStyle w:val="Hyperlink"/>
        </w:rPr>
      </w:pPr>
      <w:r w:rsidRPr="009F2F46">
        <w:rPr>
          <w:rStyle w:val="Hyperlink"/>
          <w:rFonts w:ascii="Times New Roman" w:hAnsi="Times New Roman" w:cs="Times New Roman"/>
        </w:rPr>
        <w:t xml:space="preserve">Kaplan, S., Luchman, J., &amp; Mock, L. (2013). General and Specific Question Sequence Effects in </w:t>
      </w:r>
      <w:r w:rsidRPr="006F37A5">
        <w:rPr>
          <w:rStyle w:val="Hyperlink"/>
          <w:rFonts w:ascii="Times New Roman" w:hAnsi="Times New Roman" w:cs="Times New Roman"/>
        </w:rPr>
        <w:t xml:space="preserve">Satisfaction Surveys: Integrating Directional and Correlational Effects. </w:t>
      </w:r>
      <w:r w:rsidRPr="006F37A5">
        <w:rPr>
          <w:rStyle w:val="Hyperlink"/>
          <w:rFonts w:ascii="Times New Roman" w:hAnsi="Times New Roman" w:cs="Times New Roman"/>
          <w:i/>
        </w:rPr>
        <w:t>Journal of Happiness Studies, 14</w:t>
      </w:r>
      <w:r w:rsidRPr="006F37A5">
        <w:rPr>
          <w:rStyle w:val="Hyperlink"/>
          <w:rFonts w:ascii="Times New Roman" w:hAnsi="Times New Roman" w:cs="Times New Roman"/>
        </w:rPr>
        <w:t>(5), 1443-1458. Doi: 10.1007/s10902-012-9388-5.</w:t>
      </w:r>
    </w:p>
    <w:p w:rsidR="00805261" w:rsidRPr="00836547" w:rsidRDefault="00805261" w:rsidP="00805261">
      <w:pPr>
        <w:spacing w:line="360" w:lineRule="auto"/>
        <w:ind w:left="709" w:hanging="709"/>
        <w:rPr>
          <w:rFonts w:ascii="Times New Roman" w:hAnsi="Times New Roman" w:cs="Times New Roman"/>
        </w:rPr>
      </w:pPr>
      <w:r w:rsidRPr="006F37A5">
        <w:rPr>
          <w:rStyle w:val="Hyperlink"/>
          <w:rFonts w:ascii="Times New Roman" w:hAnsi="Times New Roman" w:cs="Times New Roman"/>
        </w:rPr>
        <w:t xml:space="preserve">Kesebir, P., &amp; Diener, E. (2008). In Pursuit of Happiness: Empirical Answers to Philosophical </w:t>
      </w:r>
      <w:r w:rsidRPr="00CF1AB9">
        <w:rPr>
          <w:rStyle w:val="Hyperlink"/>
          <w:rFonts w:ascii="Times New Roman" w:hAnsi="Times New Roman" w:cs="Times New Roman"/>
        </w:rPr>
        <w:t xml:space="preserve">Questions. </w:t>
      </w:r>
      <w:r w:rsidRPr="00836547">
        <w:rPr>
          <w:rStyle w:val="Hyperlink"/>
          <w:rFonts w:ascii="Times New Roman" w:hAnsi="Times New Roman" w:cs="Times New Roman"/>
          <w:i/>
        </w:rPr>
        <w:t>Perspectives on Psychological Science, 3</w:t>
      </w:r>
      <w:r w:rsidRPr="00836547">
        <w:rPr>
          <w:rStyle w:val="Hyperlink"/>
          <w:rFonts w:ascii="Times New Roman" w:hAnsi="Times New Roman" w:cs="Times New Roman"/>
        </w:rPr>
        <w:t xml:space="preserve">(2), 117-125. Doi: </w:t>
      </w:r>
      <w:r w:rsidRPr="00836547">
        <w:rPr>
          <w:rFonts w:ascii="Times New Roman" w:hAnsi="Times New Roman" w:cs="Times New Roman"/>
        </w:rPr>
        <w:t>10.1111/j.1745-6916.2008.00069.x.</w:t>
      </w:r>
    </w:p>
    <w:p w:rsidR="00805261" w:rsidRPr="00836547" w:rsidRDefault="00805261" w:rsidP="00805261">
      <w:pPr>
        <w:spacing w:line="360" w:lineRule="auto"/>
        <w:ind w:left="709" w:hanging="709"/>
        <w:rPr>
          <w:rFonts w:ascii="Times New Roman" w:hAnsi="Times New Roman" w:cs="Times New Roman"/>
        </w:rPr>
      </w:pPr>
      <w:r w:rsidRPr="00836547">
        <w:rPr>
          <w:rFonts w:ascii="Times New Roman" w:hAnsi="Times New Roman" w:cs="Times New Roman"/>
        </w:rPr>
        <w:t>Lau, A. L. D., &amp; Cummins, R. A. (2005). Test-retest Reliability of the Personal Wellbeing Index. Unpublished research report, The Hong Kong Polytechnic University.</w:t>
      </w:r>
    </w:p>
    <w:p w:rsidR="00805261" w:rsidRDefault="00805261" w:rsidP="00805261">
      <w:pPr>
        <w:spacing w:line="360" w:lineRule="auto"/>
        <w:ind w:left="709" w:hanging="709"/>
        <w:rPr>
          <w:rFonts w:ascii="Times New Roman" w:hAnsi="Times New Roman" w:cs="Times New Roman"/>
        </w:rPr>
      </w:pPr>
      <w:r w:rsidRPr="00836547">
        <w:rPr>
          <w:rStyle w:val="Hyperlink"/>
          <w:rFonts w:ascii="Times New Roman" w:hAnsi="Times New Roman" w:cs="Times New Roman"/>
        </w:rPr>
        <w:t xml:space="preserve">Lee, S., &amp; Grant, D. (2009). The effect of question order </w:t>
      </w:r>
      <w:r w:rsidRPr="00CF1AB9">
        <w:rPr>
          <w:rStyle w:val="Hyperlink"/>
          <w:rFonts w:ascii="Times New Roman" w:hAnsi="Times New Roman" w:cs="Times New Roman"/>
        </w:rPr>
        <w:t xml:space="preserve">on self-rated general health status in a multilingual survey context. </w:t>
      </w:r>
      <w:r w:rsidRPr="00CF1AB9">
        <w:rPr>
          <w:rStyle w:val="Hyperlink"/>
          <w:rFonts w:ascii="Times New Roman" w:hAnsi="Times New Roman" w:cs="Times New Roman"/>
          <w:i/>
        </w:rPr>
        <w:t>American Journal of Epidemiology, 169</w:t>
      </w:r>
      <w:r w:rsidRPr="00CF1AB9">
        <w:rPr>
          <w:rStyle w:val="Hyperlink"/>
          <w:rFonts w:ascii="Times New Roman" w:hAnsi="Times New Roman" w:cs="Times New Roman"/>
        </w:rPr>
        <w:t xml:space="preserve">(12), 1525-30. Doi: </w:t>
      </w:r>
      <w:hyperlink r:id="rId11" w:history="1">
        <w:r w:rsidRPr="001F0288">
          <w:rPr>
            <w:rStyle w:val="Hyperlink"/>
            <w:rFonts w:ascii="Times New Roman" w:hAnsi="Times New Roman" w:cs="Times New Roman"/>
          </w:rPr>
          <w:t>http://dx.doi.org.ezproxy-m.deakin.edu.au/10.1093/aje/kwp070</w:t>
        </w:r>
      </w:hyperlink>
      <w:r w:rsidRPr="001F0288">
        <w:rPr>
          <w:rFonts w:ascii="Times New Roman" w:hAnsi="Times New Roman" w:cs="Times New Roman"/>
        </w:rPr>
        <w:t>. </w:t>
      </w:r>
    </w:p>
    <w:p w:rsidR="00805261" w:rsidRPr="001F0288" w:rsidRDefault="00805261" w:rsidP="00805261">
      <w:pPr>
        <w:spacing w:line="360" w:lineRule="auto"/>
        <w:ind w:left="709" w:hanging="709"/>
        <w:rPr>
          <w:rFonts w:ascii="Times New Roman" w:hAnsi="Times New Roman" w:cs="Times New Roman"/>
        </w:rPr>
      </w:pPr>
      <w:r>
        <w:rPr>
          <w:rFonts w:ascii="Times New Roman" w:hAnsi="Times New Roman" w:cs="Times New Roman"/>
        </w:rPr>
        <w:t xml:space="preserve">Lozano, L. M., </w:t>
      </w:r>
      <w:r w:rsidRPr="001F0288">
        <w:rPr>
          <w:rFonts w:ascii="Times New Roman" w:hAnsi="Times New Roman" w:cs="Times New Roman"/>
        </w:rPr>
        <w:t xml:space="preserve">García-Cueto, E., &amp; Muñiz, J. (2008). Effect of the number of response categories on the reliability and validity of rating scales. </w:t>
      </w:r>
      <w:r w:rsidRPr="001F0288">
        <w:rPr>
          <w:rFonts w:ascii="Times New Roman" w:hAnsi="Times New Roman" w:cs="Times New Roman"/>
          <w:i/>
        </w:rPr>
        <w:t>Methodology: European Journal of Research Methods for the Behavioural and Social Sciences, 4</w:t>
      </w:r>
      <w:r w:rsidRPr="001F0288">
        <w:rPr>
          <w:rFonts w:ascii="Times New Roman" w:hAnsi="Times New Roman" w:cs="Times New Roman"/>
        </w:rPr>
        <w:t>(2), 73-79. Doi: 10.1027/1614-2241.4.2.73</w:t>
      </w:r>
      <w:r>
        <w:rPr>
          <w:rFonts w:ascii="Times New Roman" w:hAnsi="Times New Roman" w:cs="Times New Roman"/>
        </w:rPr>
        <w:t>.</w:t>
      </w:r>
    </w:p>
    <w:p w:rsidR="00805261" w:rsidRPr="001F0288" w:rsidRDefault="00805261" w:rsidP="00805261">
      <w:pPr>
        <w:tabs>
          <w:tab w:val="left" w:pos="810"/>
          <w:tab w:val="left" w:pos="8910"/>
        </w:tabs>
        <w:spacing w:line="360" w:lineRule="auto"/>
        <w:ind w:left="720" w:right="137" w:hanging="720"/>
        <w:rPr>
          <w:rFonts w:ascii="Times New Roman" w:hAnsi="Times New Roman" w:cs="Times New Roman"/>
          <w:color w:val="FF0000"/>
        </w:rPr>
      </w:pPr>
      <w:r w:rsidRPr="00DA60CA">
        <w:rPr>
          <w:rFonts w:ascii="Times New Roman" w:hAnsi="Times New Roman" w:cs="Times New Roman"/>
        </w:rPr>
        <w:t xml:space="preserve">Matell, M. S., &amp; Jacoby, J. (1971).  Is there an optimal number of alternatives for Likert scale items? Study 1: Reliability and validity.  </w:t>
      </w:r>
      <w:r w:rsidRPr="00DA60CA">
        <w:rPr>
          <w:rFonts w:ascii="Times New Roman" w:hAnsi="Times New Roman" w:cs="Times New Roman"/>
          <w:i/>
        </w:rPr>
        <w:t>Educational and Psychological Measurement, 31</w:t>
      </w:r>
      <w:r w:rsidRPr="00DA60CA">
        <w:rPr>
          <w:rFonts w:ascii="Times New Roman" w:hAnsi="Times New Roman" w:cs="Times New Roman"/>
        </w:rPr>
        <w:t xml:space="preserve">, 657-674. </w:t>
      </w:r>
    </w:p>
    <w:p w:rsidR="00805261" w:rsidRPr="001F0288" w:rsidRDefault="00805261" w:rsidP="00805261">
      <w:pPr>
        <w:spacing w:line="360" w:lineRule="auto"/>
        <w:ind w:left="709" w:hanging="709"/>
        <w:rPr>
          <w:rFonts w:ascii="Times New Roman" w:hAnsi="Times New Roman" w:cs="Times New Roman"/>
        </w:rPr>
      </w:pPr>
      <w:r w:rsidRPr="001F0288">
        <w:rPr>
          <w:rFonts w:ascii="Times New Roman" w:hAnsi="Times New Roman" w:cs="Times New Roman"/>
        </w:rPr>
        <w:t xml:space="preserve">Michalos, A. C. (1985). Multiple discrepancies theory (MDT). </w:t>
      </w:r>
      <w:r w:rsidRPr="001F0288">
        <w:rPr>
          <w:rFonts w:ascii="Times New Roman" w:hAnsi="Times New Roman" w:cs="Times New Roman"/>
          <w:i/>
        </w:rPr>
        <w:t>Social Indicators Research, 16</w:t>
      </w:r>
      <w:r w:rsidRPr="001F0288">
        <w:rPr>
          <w:rFonts w:ascii="Times New Roman" w:hAnsi="Times New Roman" w:cs="Times New Roman"/>
        </w:rPr>
        <w:t xml:space="preserve">(4), 347-413. </w:t>
      </w:r>
    </w:p>
    <w:p w:rsidR="00805261" w:rsidRDefault="00805261" w:rsidP="00805261">
      <w:pPr>
        <w:spacing w:line="360" w:lineRule="auto"/>
        <w:ind w:left="709" w:hanging="709"/>
        <w:rPr>
          <w:rFonts w:ascii="Times New Roman" w:hAnsi="Times New Roman" w:cs="Times New Roman"/>
        </w:rPr>
      </w:pPr>
      <w:r w:rsidRPr="001F0288">
        <w:rPr>
          <w:rFonts w:ascii="Times New Roman" w:hAnsi="Times New Roman" w:cs="Times New Roman"/>
        </w:rPr>
        <w:t>Robinson, M. D., &amp; Ryff, C. D. (1999). The r</w:t>
      </w:r>
      <w:r w:rsidRPr="008354A6">
        <w:rPr>
          <w:rFonts w:ascii="Times New Roman" w:hAnsi="Times New Roman" w:cs="Times New Roman"/>
        </w:rPr>
        <w:t xml:space="preserve">ole of self-decption in perceptions of past, present, and future happiness. </w:t>
      </w:r>
      <w:r w:rsidRPr="008354A6">
        <w:rPr>
          <w:rFonts w:ascii="Times New Roman" w:hAnsi="Times New Roman" w:cs="Times New Roman"/>
          <w:i/>
        </w:rPr>
        <w:t>Personality and Social Psychology Bulletin, 25</w:t>
      </w:r>
      <w:r w:rsidRPr="008354A6">
        <w:rPr>
          <w:rFonts w:ascii="Times New Roman" w:hAnsi="Times New Roman" w:cs="Times New Roman"/>
        </w:rPr>
        <w:t>(5), 595-606. Doi: 10.1177/0146167299025005005</w:t>
      </w:r>
      <w:r w:rsidRPr="004F4E28">
        <w:rPr>
          <w:rFonts w:ascii="Times New Roman" w:hAnsi="Times New Roman" w:cs="Times New Roman"/>
        </w:rPr>
        <w:t>.</w:t>
      </w:r>
    </w:p>
    <w:p w:rsidR="00805261" w:rsidRPr="00DD3A4E" w:rsidRDefault="00805261" w:rsidP="00805261">
      <w:pPr>
        <w:spacing w:line="360" w:lineRule="auto"/>
        <w:ind w:left="709" w:hanging="709"/>
        <w:rPr>
          <w:rFonts w:ascii="Times New Roman" w:hAnsi="Times New Roman" w:cs="Times New Roman"/>
        </w:rPr>
      </w:pPr>
      <w:r>
        <w:rPr>
          <w:rFonts w:ascii="Times New Roman" w:hAnsi="Times New Roman" w:cs="Times New Roman"/>
        </w:rPr>
        <w:t xml:space="preserve">Schuman, H., &amp; Presser, S. (1981). </w:t>
      </w:r>
      <w:r>
        <w:rPr>
          <w:rFonts w:ascii="Times New Roman" w:hAnsi="Times New Roman" w:cs="Times New Roman"/>
          <w:i/>
        </w:rPr>
        <w:t xml:space="preserve">Questions and Answers in Attitude Surveys: Experiments on Question Form, Wording and Context. </w:t>
      </w:r>
      <w:r>
        <w:rPr>
          <w:rFonts w:ascii="Times New Roman" w:hAnsi="Times New Roman" w:cs="Times New Roman"/>
        </w:rPr>
        <w:t>Amherst, Massachusetts: Academic Press, inc.</w:t>
      </w:r>
    </w:p>
    <w:p w:rsidR="00805261" w:rsidRDefault="00805261" w:rsidP="00805261">
      <w:pPr>
        <w:spacing w:line="360" w:lineRule="auto"/>
        <w:ind w:left="709" w:hanging="709"/>
        <w:rPr>
          <w:rFonts w:ascii="Times New Roman" w:hAnsi="Times New Roman" w:cs="Times New Roman"/>
          <w:color w:val="000000"/>
        </w:rPr>
      </w:pPr>
      <w:r w:rsidRPr="0079670E">
        <w:rPr>
          <w:rFonts w:ascii="Times New Roman" w:hAnsi="Times New Roman" w:cs="Times New Roman"/>
        </w:rPr>
        <w:t xml:space="preserve">Schwarz, N &amp; Strack, F. (1991). Evaluating one's life: a judgment model of subjective well-being. </w:t>
      </w:r>
      <w:r w:rsidRPr="0079670E">
        <w:rPr>
          <w:rFonts w:ascii="Times New Roman" w:hAnsi="Times New Roman" w:cs="Times New Roman"/>
          <w:bCs/>
        </w:rPr>
        <w:t>In</w:t>
      </w:r>
      <w:r w:rsidRPr="0079670E">
        <w:rPr>
          <w:rFonts w:ascii="Times New Roman" w:hAnsi="Times New Roman" w:cs="Times New Roman"/>
          <w:b/>
          <w:bCs/>
        </w:rPr>
        <w:t xml:space="preserve"> </w:t>
      </w:r>
      <w:r w:rsidRPr="0079670E">
        <w:rPr>
          <w:rFonts w:ascii="Times New Roman" w:hAnsi="Times New Roman" w:cs="Times New Roman"/>
          <w:color w:val="000000"/>
        </w:rPr>
        <w:t>F. Strack, M. Argyle., &amp; N. Schwarz (Eds.)</w:t>
      </w:r>
      <w:r>
        <w:rPr>
          <w:rFonts w:ascii="Times New Roman" w:hAnsi="Times New Roman" w:cs="Times New Roman"/>
          <w:color w:val="000000"/>
        </w:rPr>
        <w:t>,</w:t>
      </w:r>
      <w:r w:rsidRPr="0079670E">
        <w:rPr>
          <w:rFonts w:ascii="Times New Roman" w:hAnsi="Times New Roman" w:cs="Times New Roman"/>
          <w:color w:val="000000"/>
        </w:rPr>
        <w:t xml:space="preserve"> Subjective well-being: An </w:t>
      </w:r>
      <w:r>
        <w:rPr>
          <w:rFonts w:ascii="Times New Roman" w:hAnsi="Times New Roman" w:cs="Times New Roman"/>
          <w:color w:val="000000"/>
        </w:rPr>
        <w:t>interdisciplinary perspective</w:t>
      </w:r>
      <w:r w:rsidRPr="0079670E">
        <w:rPr>
          <w:rFonts w:ascii="Times New Roman" w:hAnsi="Times New Roman" w:cs="Times New Roman"/>
          <w:color w:val="000000"/>
        </w:rPr>
        <w:t xml:space="preserve"> (Chapter 3 p27-47). Oxford: Pergamon</w:t>
      </w:r>
      <w:r>
        <w:rPr>
          <w:rFonts w:ascii="Times New Roman" w:hAnsi="Times New Roman" w:cs="Times New Roman"/>
          <w:color w:val="000000"/>
        </w:rPr>
        <w:t>.</w:t>
      </w:r>
    </w:p>
    <w:p w:rsidR="00805261" w:rsidRPr="00171772" w:rsidRDefault="00805261" w:rsidP="00805261">
      <w:pPr>
        <w:spacing w:line="360" w:lineRule="auto"/>
        <w:ind w:left="709" w:hanging="709"/>
        <w:rPr>
          <w:rFonts w:ascii="Times New Roman" w:hAnsi="Times New Roman" w:cs="Times New Roman"/>
        </w:rPr>
      </w:pPr>
      <w:r>
        <w:rPr>
          <w:rFonts w:ascii="Times New Roman" w:hAnsi="Times New Roman" w:cs="Times New Roman"/>
          <w:color w:val="000000"/>
        </w:rPr>
        <w:t xml:space="preserve">Scwarz, B., &amp; Strack, F. (1999). Reports of subjective well-being: judgmental processes and their methodological implications. In D. Kahneman, E. Diener, &amp; N. Schwarz. (Eds.), </w:t>
      </w:r>
      <w:r>
        <w:rPr>
          <w:rFonts w:ascii="Times New Roman" w:hAnsi="Times New Roman" w:cs="Times New Roman"/>
          <w:i/>
          <w:color w:val="000000"/>
        </w:rPr>
        <w:t xml:space="preserve">Well-being: The foundations of hedonistic psychology </w:t>
      </w:r>
      <w:r>
        <w:rPr>
          <w:rFonts w:ascii="Times New Roman" w:hAnsi="Times New Roman" w:cs="Times New Roman"/>
          <w:color w:val="000000"/>
        </w:rPr>
        <w:t>(pp. 61-84). New York: Russel Sage.</w:t>
      </w:r>
    </w:p>
    <w:p w:rsidR="00805261" w:rsidRDefault="00805261" w:rsidP="00805261">
      <w:pPr>
        <w:spacing w:line="360" w:lineRule="auto"/>
        <w:ind w:left="709" w:hanging="709"/>
        <w:rPr>
          <w:rFonts w:ascii="Times New Roman" w:hAnsi="Times New Roman" w:cs="Times New Roman"/>
        </w:rPr>
      </w:pPr>
      <w:r w:rsidRPr="00834DF1">
        <w:rPr>
          <w:rFonts w:ascii="Times New Roman" w:hAnsi="Times New Roman" w:cs="Times New Roman"/>
          <w:color w:val="000000"/>
        </w:rPr>
        <w:t>Schwarz, N., Strack</w:t>
      </w:r>
      <w:r w:rsidRPr="00834DF1">
        <w:rPr>
          <w:rFonts w:ascii="Times New Roman" w:hAnsi="Times New Roman" w:cs="Times New Roman"/>
        </w:rPr>
        <w:t xml:space="preserve">, F., &amp; Mai, H. P. (1991). Assimilation and contrast effects in part-whole question sequences: A conversational logic analysis. </w:t>
      </w:r>
      <w:r w:rsidRPr="00834DF1">
        <w:rPr>
          <w:rFonts w:ascii="Times New Roman" w:hAnsi="Times New Roman" w:cs="Times New Roman"/>
          <w:i/>
        </w:rPr>
        <w:t>Public Opinion Quarterly, 55</w:t>
      </w:r>
      <w:r w:rsidRPr="00834DF1">
        <w:rPr>
          <w:rFonts w:ascii="Times New Roman" w:hAnsi="Times New Roman" w:cs="Times New Roman"/>
        </w:rPr>
        <w:t>, 3–23. Doi:10.1086/269239.</w:t>
      </w:r>
    </w:p>
    <w:p w:rsidR="00805261" w:rsidRPr="00FD1FAE" w:rsidRDefault="00805261" w:rsidP="00805261">
      <w:pPr>
        <w:spacing w:line="360" w:lineRule="auto"/>
        <w:ind w:left="709" w:hanging="709"/>
        <w:rPr>
          <w:rFonts w:ascii="Times New Roman" w:hAnsi="Times New Roman" w:cs="Times New Roman"/>
        </w:rPr>
      </w:pPr>
      <w:r>
        <w:rPr>
          <w:rFonts w:ascii="Times New Roman" w:hAnsi="Times New Roman" w:cs="Times New Roman"/>
        </w:rPr>
        <w:t xml:space="preserve">Strack, F., Martin, L. L., &amp; Schwarz, N. (1988). Priming and communication: Social determinants of information use in judgments of life satisfaction. </w:t>
      </w:r>
      <w:r>
        <w:rPr>
          <w:rFonts w:ascii="Times New Roman" w:hAnsi="Times New Roman" w:cs="Times New Roman"/>
          <w:i/>
        </w:rPr>
        <w:t>European Journal of Social Psychology, 18</w:t>
      </w:r>
      <w:r>
        <w:rPr>
          <w:rFonts w:ascii="Times New Roman" w:hAnsi="Times New Roman" w:cs="Times New Roman"/>
        </w:rPr>
        <w:t xml:space="preserve">(5), 429-442. </w:t>
      </w:r>
    </w:p>
    <w:p w:rsidR="00805261" w:rsidRPr="00CA267B" w:rsidRDefault="00805261" w:rsidP="00805261">
      <w:pPr>
        <w:spacing w:line="360" w:lineRule="auto"/>
        <w:ind w:left="709" w:hanging="709"/>
        <w:rPr>
          <w:rFonts w:ascii="Times New Roman" w:hAnsi="Times New Roman" w:cs="Times New Roman"/>
        </w:rPr>
      </w:pPr>
      <w:r w:rsidRPr="00834DF1">
        <w:rPr>
          <w:rFonts w:ascii="Times New Roman" w:hAnsi="Times New Roman" w:cs="Times New Roman"/>
        </w:rPr>
        <w:t xml:space="preserve">Tourangeau, R., &amp; Rasinski, K. A. (1988). Cognitive processes underlying context effects in attitude measurement. </w:t>
      </w:r>
      <w:r w:rsidRPr="00834DF1">
        <w:rPr>
          <w:rFonts w:ascii="Times New Roman" w:hAnsi="Times New Roman" w:cs="Times New Roman"/>
          <w:i/>
        </w:rPr>
        <w:t>Psychological Bulletin, 103</w:t>
      </w:r>
      <w:r>
        <w:rPr>
          <w:rFonts w:ascii="Times New Roman" w:hAnsi="Times New Roman" w:cs="Times New Roman"/>
        </w:rPr>
        <w:t>, 299–314. D</w:t>
      </w:r>
      <w:r w:rsidRPr="00834DF1">
        <w:rPr>
          <w:rFonts w:ascii="Times New Roman" w:hAnsi="Times New Roman" w:cs="Times New Roman"/>
        </w:rPr>
        <w:t>oi:10.1037/0033-2909.103.3.299.</w:t>
      </w:r>
    </w:p>
    <w:p w:rsidR="00805261" w:rsidRDefault="00805261">
      <w:pPr>
        <w:autoSpaceDE/>
        <w:autoSpaceDN/>
        <w:spacing w:after="200" w:line="276" w:lineRule="auto"/>
        <w:rPr>
          <w:rFonts w:ascii="Times New Roman" w:hAnsi="Times New Roman" w:cs="Times New Roman"/>
        </w:rPr>
      </w:pPr>
      <w:r>
        <w:rPr>
          <w:rFonts w:ascii="Times New Roman" w:hAnsi="Times New Roman" w:cs="Times New Roman"/>
        </w:rPr>
        <w:br w:type="page"/>
      </w:r>
    </w:p>
    <w:p w:rsidR="00277FE1" w:rsidRPr="00277FE1" w:rsidRDefault="00277FE1" w:rsidP="00277FE1">
      <w:pPr>
        <w:adjustRightInd w:val="0"/>
        <w:jc w:val="center"/>
        <w:rPr>
          <w:rFonts w:ascii="Times New Roman" w:hAnsi="Times New Roman" w:cs="Times New Roman"/>
        </w:rPr>
      </w:pP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b/>
          <w:bCs/>
          <w:sz w:val="36"/>
          <w:szCs w:val="36"/>
          <w:lang w:val="en-AU" w:eastAsia="en-AU"/>
        </w:rPr>
        <w:t>CHAPTER 2:</w:t>
      </w:r>
    </w:p>
    <w:p w:rsidR="00277FE1" w:rsidRDefault="00277FE1" w:rsidP="00277FE1">
      <w:pPr>
        <w:autoSpaceDE/>
        <w:autoSpaceDN/>
        <w:spacing w:after="200" w:line="276" w:lineRule="auto"/>
        <w:jc w:val="center"/>
        <w:rPr>
          <w:rFonts w:ascii="Times New Roman" w:hAnsi="Times New Roman" w:cs="Times New Roman"/>
        </w:rPr>
      </w:pPr>
      <w:r>
        <w:rPr>
          <w:rFonts w:ascii="Times New Roman" w:hAnsi="Times New Roman" w:cs="Times New Roman"/>
          <w:b/>
          <w:bCs/>
          <w:sz w:val="36"/>
          <w:szCs w:val="36"/>
          <w:lang w:val="en-AU" w:eastAsia="en-AU"/>
        </w:rPr>
        <w:t>EMPIRICAL REPORT</w:t>
      </w:r>
    </w:p>
    <w:p w:rsidR="00277FE1" w:rsidRDefault="00277FE1">
      <w:pPr>
        <w:autoSpaceDE/>
        <w:autoSpaceDN/>
        <w:spacing w:after="200" w:line="276" w:lineRule="auto"/>
        <w:rPr>
          <w:rFonts w:ascii="Times New Roman" w:hAnsi="Times New Roman" w:cs="Times New Roman"/>
        </w:rPr>
      </w:pPr>
      <w:r>
        <w:rPr>
          <w:rFonts w:ascii="Times New Roman" w:hAnsi="Times New Roman" w:cs="Times New Roman"/>
        </w:rPr>
        <w:br w:type="page"/>
      </w:r>
    </w:p>
    <w:p w:rsidR="005430A2" w:rsidRPr="00BD4E37" w:rsidRDefault="005430A2" w:rsidP="005430A2">
      <w:pPr>
        <w:spacing w:line="360" w:lineRule="auto"/>
        <w:jc w:val="center"/>
        <w:rPr>
          <w:rFonts w:ascii="Times New Roman" w:hAnsi="Times New Roman" w:cs="Times New Roman"/>
        </w:rPr>
      </w:pPr>
      <w:r w:rsidRPr="00BD4E37">
        <w:rPr>
          <w:rFonts w:ascii="Times New Roman" w:hAnsi="Times New Roman" w:cs="Times New Roman"/>
        </w:rPr>
        <w:t>Abstract</w:t>
      </w:r>
    </w:p>
    <w:p w:rsidR="005430A2" w:rsidRPr="0001329C" w:rsidRDefault="005430A2" w:rsidP="005430A2">
      <w:pPr>
        <w:spacing w:line="360" w:lineRule="auto"/>
        <w:rPr>
          <w:rFonts w:ascii="Times New Roman" w:hAnsi="Times New Roman" w:cs="Times New Roman"/>
        </w:rPr>
      </w:pPr>
      <w:r>
        <w:rPr>
          <w:rFonts w:ascii="Times New Roman" w:hAnsi="Times New Roman" w:cs="Times New Roman"/>
        </w:rPr>
        <w:t xml:space="preserve">The </w:t>
      </w:r>
      <w:r w:rsidRPr="00BD4E37">
        <w:rPr>
          <w:rFonts w:ascii="Times New Roman" w:hAnsi="Times New Roman" w:cs="Times New Roman"/>
        </w:rPr>
        <w:t>aim of this study was to investigate the psychometric properties of the Personal Wellbeing Index (PWI)</w:t>
      </w:r>
      <w:r>
        <w:rPr>
          <w:rFonts w:ascii="Times New Roman" w:hAnsi="Times New Roman" w:cs="Times New Roman"/>
        </w:rPr>
        <w:t xml:space="preserve">, with particular reference to </w:t>
      </w:r>
      <w:r w:rsidRPr="00BD4E37">
        <w:rPr>
          <w:rFonts w:ascii="Times New Roman" w:hAnsi="Times New Roman" w:cs="Times New Roman"/>
        </w:rPr>
        <w:t xml:space="preserve">order effects. Research within the realm of </w:t>
      </w:r>
      <w:r>
        <w:rPr>
          <w:rFonts w:ascii="Times New Roman" w:hAnsi="Times New Roman" w:cs="Times New Roman"/>
        </w:rPr>
        <w:t>wellbeing</w:t>
      </w:r>
      <w:r w:rsidRPr="00BD4E37">
        <w:rPr>
          <w:rFonts w:ascii="Times New Roman" w:hAnsi="Times New Roman" w:cs="Times New Roman"/>
        </w:rPr>
        <w:t xml:space="preserve"> measures </w:t>
      </w:r>
      <w:r>
        <w:rPr>
          <w:rFonts w:ascii="Times New Roman" w:hAnsi="Times New Roman" w:cs="Times New Roman"/>
        </w:rPr>
        <w:t xml:space="preserve">suggests that the </w:t>
      </w:r>
      <w:r w:rsidRPr="00BD4E37">
        <w:rPr>
          <w:rFonts w:ascii="Times New Roman" w:hAnsi="Times New Roman" w:cs="Times New Roman"/>
        </w:rPr>
        <w:t xml:space="preserve">responses </w:t>
      </w:r>
      <w:r>
        <w:rPr>
          <w:rFonts w:ascii="Times New Roman" w:hAnsi="Times New Roman" w:cs="Times New Roman"/>
        </w:rPr>
        <w:t>elicited may depend on the ordering of items</w:t>
      </w:r>
      <w:r w:rsidRPr="00BD4E37">
        <w:rPr>
          <w:rFonts w:ascii="Times New Roman" w:hAnsi="Times New Roman" w:cs="Times New Roman"/>
        </w:rPr>
        <w:t xml:space="preserve">. The PWI </w:t>
      </w:r>
      <w:r>
        <w:rPr>
          <w:rFonts w:ascii="Times New Roman" w:hAnsi="Times New Roman" w:cs="Times New Roman"/>
        </w:rPr>
        <w:t>manual recommends</w:t>
      </w:r>
      <w:r w:rsidRPr="00BD4E37">
        <w:rPr>
          <w:rFonts w:ascii="Times New Roman" w:hAnsi="Times New Roman" w:cs="Times New Roman"/>
        </w:rPr>
        <w:t xml:space="preserve"> a precise format for questions to be asked, consisting of one </w:t>
      </w:r>
      <w:r>
        <w:rPr>
          <w:rFonts w:ascii="Times New Roman" w:hAnsi="Times New Roman" w:cs="Times New Roman"/>
        </w:rPr>
        <w:t xml:space="preserve">general </w:t>
      </w:r>
      <w:r w:rsidRPr="00BD4E37">
        <w:rPr>
          <w:rFonts w:ascii="Times New Roman" w:hAnsi="Times New Roman" w:cs="Times New Roman"/>
        </w:rPr>
        <w:t>question on overall life satisfaction</w:t>
      </w:r>
      <w:r>
        <w:rPr>
          <w:rFonts w:ascii="Times New Roman" w:hAnsi="Times New Roman" w:cs="Times New Roman"/>
        </w:rPr>
        <w:t xml:space="preserve">, </w:t>
      </w:r>
      <w:r w:rsidRPr="00BD4E37">
        <w:rPr>
          <w:rFonts w:ascii="Times New Roman" w:hAnsi="Times New Roman" w:cs="Times New Roman"/>
        </w:rPr>
        <w:t>followed by seven</w:t>
      </w:r>
      <w:r>
        <w:rPr>
          <w:rFonts w:ascii="Times New Roman" w:hAnsi="Times New Roman" w:cs="Times New Roman"/>
        </w:rPr>
        <w:t xml:space="preserve"> specific</w:t>
      </w:r>
      <w:r w:rsidRPr="00BD4E37">
        <w:rPr>
          <w:rFonts w:ascii="Times New Roman" w:hAnsi="Times New Roman" w:cs="Times New Roman"/>
        </w:rPr>
        <w:t xml:space="preserve"> questions </w:t>
      </w:r>
      <w:r>
        <w:rPr>
          <w:rFonts w:ascii="Times New Roman" w:hAnsi="Times New Roman" w:cs="Times New Roman"/>
        </w:rPr>
        <w:t>about</w:t>
      </w:r>
      <w:r w:rsidRPr="00BD4E37">
        <w:rPr>
          <w:rFonts w:ascii="Times New Roman" w:hAnsi="Times New Roman" w:cs="Times New Roman"/>
        </w:rPr>
        <w:t xml:space="preserve"> satisfaction in life domains</w:t>
      </w:r>
      <w:r>
        <w:rPr>
          <w:rFonts w:ascii="Times New Roman" w:hAnsi="Times New Roman" w:cs="Times New Roman"/>
        </w:rPr>
        <w:t>. Though the psychometric properties of the PWI have been well established, the scale has never been tested for order effects.</w:t>
      </w:r>
      <w:r w:rsidRPr="00BD4E37">
        <w:rPr>
          <w:rFonts w:ascii="Times New Roman" w:hAnsi="Times New Roman" w:cs="Times New Roman"/>
        </w:rPr>
        <w:t xml:space="preserve"> </w:t>
      </w:r>
      <w:r>
        <w:rPr>
          <w:rFonts w:ascii="Times New Roman" w:hAnsi="Times New Roman" w:cs="Times New Roman"/>
        </w:rPr>
        <w:t>For the present study, i</w:t>
      </w:r>
      <w:r w:rsidRPr="00BD4E37">
        <w:rPr>
          <w:rFonts w:ascii="Times New Roman" w:hAnsi="Times New Roman" w:cs="Times New Roman"/>
        </w:rPr>
        <w:t xml:space="preserve">t was hypothesised </w:t>
      </w:r>
      <w:r>
        <w:rPr>
          <w:rFonts w:ascii="Times New Roman" w:hAnsi="Times New Roman" w:cs="Times New Roman"/>
        </w:rPr>
        <w:t>that changing the order of the items, such that the specific domain questions precede the general life satisfaction (GLS) item,</w:t>
      </w:r>
      <w:r w:rsidRPr="00BD4E37">
        <w:rPr>
          <w:rFonts w:ascii="Times New Roman" w:hAnsi="Times New Roman" w:cs="Times New Roman"/>
        </w:rPr>
        <w:t xml:space="preserve"> would result in an assimilation effect, where participants in th</w:t>
      </w:r>
      <w:r>
        <w:rPr>
          <w:rFonts w:ascii="Times New Roman" w:hAnsi="Times New Roman" w:cs="Times New Roman"/>
        </w:rPr>
        <w:t>is</w:t>
      </w:r>
      <w:r w:rsidRPr="00BD4E37">
        <w:rPr>
          <w:rFonts w:ascii="Times New Roman" w:hAnsi="Times New Roman" w:cs="Times New Roman"/>
        </w:rPr>
        <w:t xml:space="preserve"> specific-general condition would base their responses for the general item on the responses from the specific questions asked </w:t>
      </w:r>
      <w:r>
        <w:rPr>
          <w:rFonts w:ascii="Times New Roman" w:hAnsi="Times New Roman" w:cs="Times New Roman"/>
        </w:rPr>
        <w:t>prior.</w:t>
      </w:r>
      <w:r w:rsidRPr="00BD4E37">
        <w:rPr>
          <w:rFonts w:ascii="Times New Roman" w:hAnsi="Times New Roman" w:cs="Times New Roman"/>
        </w:rPr>
        <w:t xml:space="preserve"> The 653 participants in this study (24.3% male, 75.2% female) with a mean age of 3</w:t>
      </w:r>
      <w:r>
        <w:rPr>
          <w:rFonts w:ascii="Times New Roman" w:hAnsi="Times New Roman" w:cs="Times New Roman"/>
        </w:rPr>
        <w:t>0.74 years (</w:t>
      </w:r>
      <w:r w:rsidRPr="005C62C2">
        <w:rPr>
          <w:rFonts w:ascii="Times New Roman" w:hAnsi="Times New Roman" w:cs="Times New Roman"/>
          <w:i/>
        </w:rPr>
        <w:t>SD</w:t>
      </w:r>
      <w:r>
        <w:rPr>
          <w:rFonts w:ascii="Times New Roman" w:hAnsi="Times New Roman" w:cs="Times New Roman"/>
        </w:rPr>
        <w:t>=13.51)</w:t>
      </w:r>
      <w:r w:rsidRPr="00BD4E37">
        <w:rPr>
          <w:rFonts w:ascii="Times New Roman" w:hAnsi="Times New Roman" w:cs="Times New Roman"/>
        </w:rPr>
        <w:t xml:space="preserve"> completed </w:t>
      </w:r>
      <w:r>
        <w:rPr>
          <w:rFonts w:ascii="Times New Roman" w:hAnsi="Times New Roman" w:cs="Times New Roman"/>
        </w:rPr>
        <w:t>the PWI online</w:t>
      </w:r>
      <w:r w:rsidRPr="00BD4E37">
        <w:rPr>
          <w:rFonts w:ascii="Times New Roman" w:hAnsi="Times New Roman" w:cs="Times New Roman"/>
        </w:rPr>
        <w:t xml:space="preserve">. </w:t>
      </w:r>
      <w:r>
        <w:rPr>
          <w:rFonts w:ascii="Times New Roman" w:hAnsi="Times New Roman" w:cs="Times New Roman"/>
        </w:rPr>
        <w:t>P</w:t>
      </w:r>
      <w:r w:rsidRPr="00BD4E37">
        <w:rPr>
          <w:rFonts w:ascii="Times New Roman" w:hAnsi="Times New Roman" w:cs="Times New Roman"/>
        </w:rPr>
        <w:t>articipants were assi</w:t>
      </w:r>
      <w:r>
        <w:rPr>
          <w:rFonts w:ascii="Times New Roman" w:hAnsi="Times New Roman" w:cs="Times New Roman"/>
        </w:rPr>
        <w:t>gned to one of two conditions, o</w:t>
      </w:r>
      <w:r w:rsidRPr="00BD4E37">
        <w:rPr>
          <w:rFonts w:ascii="Times New Roman" w:hAnsi="Times New Roman" w:cs="Times New Roman"/>
        </w:rPr>
        <w:t>ne received the questionnaire in its standard</w:t>
      </w:r>
      <w:r>
        <w:rPr>
          <w:rFonts w:ascii="Times New Roman" w:hAnsi="Times New Roman" w:cs="Times New Roman"/>
        </w:rPr>
        <w:t xml:space="preserve"> general-specific format</w:t>
      </w:r>
      <w:r w:rsidRPr="00BD4E37">
        <w:rPr>
          <w:rFonts w:ascii="Times New Roman" w:hAnsi="Times New Roman" w:cs="Times New Roman"/>
        </w:rPr>
        <w:t xml:space="preserve"> and the other</w:t>
      </w:r>
      <w:r>
        <w:rPr>
          <w:rFonts w:ascii="Times New Roman" w:hAnsi="Times New Roman" w:cs="Times New Roman"/>
        </w:rPr>
        <w:t xml:space="preserve"> condition received the questionnaire with the general item appearing last,</w:t>
      </w:r>
      <w:r w:rsidRPr="00BD4E37">
        <w:rPr>
          <w:rFonts w:ascii="Times New Roman" w:hAnsi="Times New Roman" w:cs="Times New Roman"/>
        </w:rPr>
        <w:t xml:space="preserve"> </w:t>
      </w:r>
      <w:r>
        <w:rPr>
          <w:rFonts w:ascii="Times New Roman" w:hAnsi="Times New Roman" w:cs="Times New Roman"/>
        </w:rPr>
        <w:t>reflecting a s</w:t>
      </w:r>
      <w:r w:rsidRPr="00BD4E37">
        <w:rPr>
          <w:rFonts w:ascii="Times New Roman" w:hAnsi="Times New Roman" w:cs="Times New Roman"/>
        </w:rPr>
        <w:t xml:space="preserve">pecific-general format. </w:t>
      </w:r>
      <w:r>
        <w:rPr>
          <w:rFonts w:ascii="Times New Roman" w:hAnsi="Times New Roman" w:cs="Times New Roman"/>
        </w:rPr>
        <w:t>Results</w:t>
      </w:r>
      <w:r w:rsidRPr="00BD4E37">
        <w:rPr>
          <w:rFonts w:ascii="Times New Roman" w:hAnsi="Times New Roman" w:cs="Times New Roman"/>
        </w:rPr>
        <w:t xml:space="preserve"> </w:t>
      </w:r>
      <w:r>
        <w:rPr>
          <w:rFonts w:ascii="Times New Roman" w:hAnsi="Times New Roman" w:cs="Times New Roman"/>
        </w:rPr>
        <w:t>revealed</w:t>
      </w:r>
      <w:r w:rsidRPr="00BD4E37">
        <w:rPr>
          <w:rFonts w:ascii="Times New Roman" w:hAnsi="Times New Roman" w:cs="Times New Roman"/>
        </w:rPr>
        <w:t xml:space="preserve"> that </w:t>
      </w:r>
      <w:r>
        <w:rPr>
          <w:rFonts w:ascii="Times New Roman" w:hAnsi="Times New Roman" w:cs="Times New Roman"/>
        </w:rPr>
        <w:t xml:space="preserve">average scores for the domain questions were significantly higher in the general-specific condition indicating the possibility of an order effect, however no difference was found between average scores on GLS. Further, the </w:t>
      </w:r>
      <w:r w:rsidRPr="00BD4E37">
        <w:rPr>
          <w:rFonts w:ascii="Times New Roman" w:hAnsi="Times New Roman" w:cs="Times New Roman"/>
        </w:rPr>
        <w:t>specific-general format appeared to</w:t>
      </w:r>
      <w:r>
        <w:rPr>
          <w:rFonts w:ascii="Times New Roman" w:hAnsi="Times New Roman" w:cs="Times New Roman"/>
        </w:rPr>
        <w:t xml:space="preserve"> produce an assimilation effect as the domain questions explained more variance in GLS in this condition. </w:t>
      </w:r>
      <w:r w:rsidRPr="00BD4E37">
        <w:rPr>
          <w:rFonts w:ascii="Times New Roman" w:hAnsi="Times New Roman" w:cs="Times New Roman"/>
        </w:rPr>
        <w:t>The current study supports the importance</w:t>
      </w:r>
      <w:r>
        <w:rPr>
          <w:rFonts w:ascii="Times New Roman" w:hAnsi="Times New Roman" w:cs="Times New Roman"/>
        </w:rPr>
        <w:t xml:space="preserve"> of order effects as an important </w:t>
      </w:r>
      <w:r w:rsidRPr="00BD4E37">
        <w:rPr>
          <w:rFonts w:ascii="Times New Roman" w:hAnsi="Times New Roman" w:cs="Times New Roman"/>
        </w:rPr>
        <w:t>methodological concern in self-report measures, particularly in happiness literature</w:t>
      </w:r>
      <w:r>
        <w:rPr>
          <w:rFonts w:ascii="Times New Roman" w:hAnsi="Times New Roman" w:cs="Times New Roman"/>
        </w:rPr>
        <w:t>,</w:t>
      </w:r>
      <w:r w:rsidRPr="00BD4E37">
        <w:rPr>
          <w:rFonts w:ascii="Times New Roman" w:hAnsi="Times New Roman" w:cs="Times New Roman"/>
        </w:rPr>
        <w:t xml:space="preserve"> whereby responses may not be due to the questionnaire items</w:t>
      </w:r>
      <w:r>
        <w:rPr>
          <w:rFonts w:ascii="Times New Roman" w:hAnsi="Times New Roman" w:cs="Times New Roman"/>
        </w:rPr>
        <w:t xml:space="preserve"> themselves but due to the ordering of </w:t>
      </w:r>
      <w:r w:rsidRPr="00BD4E37">
        <w:rPr>
          <w:rFonts w:ascii="Times New Roman" w:hAnsi="Times New Roman" w:cs="Times New Roman"/>
        </w:rPr>
        <w:t>items.</w:t>
      </w:r>
    </w:p>
    <w:p w:rsidR="005430A2" w:rsidRDefault="005430A2" w:rsidP="005430A2">
      <w:pPr>
        <w:spacing w:line="360" w:lineRule="auto"/>
        <w:rPr>
          <w:rFonts w:ascii="Times New Roman" w:hAnsi="Times New Roman" w:cs="Times New Roman"/>
        </w:rPr>
      </w:pPr>
      <w:r>
        <w:rPr>
          <w:rFonts w:ascii="Times New Roman" w:hAnsi="Times New Roman" w:cs="Times New Roman"/>
        </w:rPr>
        <w:br w:type="page"/>
      </w:r>
    </w:p>
    <w:p w:rsidR="005430A2" w:rsidRPr="00C3276A" w:rsidRDefault="005430A2" w:rsidP="005430A2">
      <w:pPr>
        <w:spacing w:line="360" w:lineRule="auto"/>
        <w:jc w:val="center"/>
        <w:rPr>
          <w:rFonts w:ascii="Times New Roman" w:hAnsi="Times New Roman" w:cs="Times New Roman"/>
        </w:rPr>
      </w:pPr>
      <w:r w:rsidRPr="00C3276A">
        <w:rPr>
          <w:rFonts w:ascii="Times New Roman" w:hAnsi="Times New Roman" w:cs="Times New Roman"/>
          <w:b/>
        </w:rPr>
        <w:t>1. Introduction</w:t>
      </w:r>
    </w:p>
    <w:p w:rsidR="005430A2" w:rsidRPr="00BD4E37" w:rsidRDefault="005430A2" w:rsidP="005430A2">
      <w:pPr>
        <w:spacing w:before="240" w:after="240" w:line="360" w:lineRule="auto"/>
        <w:rPr>
          <w:rFonts w:ascii="Times New Roman" w:hAnsi="Times New Roman" w:cs="Times New Roman"/>
        </w:rPr>
      </w:pPr>
      <w:r w:rsidRPr="00BD4E37">
        <w:rPr>
          <w:rFonts w:ascii="Times New Roman" w:hAnsi="Times New Roman" w:cs="Times New Roman"/>
        </w:rPr>
        <w:tab/>
        <w:t xml:space="preserve">Happiness is perceived as a desirable state with a range of beneficial outcomes (Fredrikson, 1998; Kesebir &amp; Diener, 2008). Once restricted to the realm of philosophy, the quest to understand happiness and what makes some </w:t>
      </w:r>
      <w:r w:rsidRPr="006F69B9">
        <w:rPr>
          <w:rFonts w:ascii="Times New Roman" w:hAnsi="Times New Roman" w:cs="Times New Roman"/>
        </w:rPr>
        <w:t xml:space="preserve">individuals happier than others, has fuelled multidisciplinary research into the science of happiness. In the psychological </w:t>
      </w:r>
      <w:r w:rsidRPr="00BD4E37">
        <w:rPr>
          <w:rFonts w:ascii="Times New Roman" w:hAnsi="Times New Roman" w:cs="Times New Roman"/>
        </w:rPr>
        <w:t xml:space="preserve">literature at least, happiness is termed subjective wellbeing (SWB). General consensus is that SWB comprises of both cognitive and affective components (Kesebir &amp; Diener, 2008). </w:t>
      </w:r>
    </w:p>
    <w:p w:rsidR="005430A2" w:rsidRPr="00BD4E37" w:rsidRDefault="005430A2" w:rsidP="005430A2">
      <w:pPr>
        <w:spacing w:before="240" w:after="240" w:line="360" w:lineRule="auto"/>
        <w:rPr>
          <w:rFonts w:ascii="Times New Roman" w:hAnsi="Times New Roman" w:cs="Times New Roman"/>
        </w:rPr>
      </w:pPr>
      <w:r w:rsidRPr="00BD4E37">
        <w:rPr>
          <w:rFonts w:ascii="Times New Roman" w:hAnsi="Times New Roman" w:cs="Times New Roman"/>
        </w:rPr>
        <w:tab/>
        <w:t xml:space="preserve">Progressing into modern scientific literature, SWB has been studied to understand its properties and functions at both individual and population levels. An influential study by Brickman, Coates and Janoff-Bulman (1978) compared the happiness of two groups comprising lottery winners and paralysed accident victims. </w:t>
      </w:r>
      <w:r>
        <w:rPr>
          <w:rFonts w:ascii="Times New Roman" w:hAnsi="Times New Roman" w:cs="Times New Roman"/>
        </w:rPr>
        <w:t>Contrary to</w:t>
      </w:r>
      <w:r w:rsidRPr="00BD4E37">
        <w:rPr>
          <w:rFonts w:ascii="Times New Roman" w:hAnsi="Times New Roman" w:cs="Times New Roman"/>
        </w:rPr>
        <w:t xml:space="preserve"> popular belief, the findings revealed that wellbeing levels across the groups were fairly similar, despite the strikingly different life events. This study formed the basis for the idea that SWB is a relatively stable and positive trait (Cummins, 2010; Cummins, Li, Wooden &amp; Stokes, 2014).</w:t>
      </w:r>
    </w:p>
    <w:p w:rsidR="005430A2" w:rsidRPr="00BD4E37" w:rsidRDefault="005430A2" w:rsidP="005430A2">
      <w:pPr>
        <w:spacing w:before="240" w:after="240" w:line="360" w:lineRule="auto"/>
        <w:ind w:firstLine="720"/>
        <w:rPr>
          <w:rFonts w:ascii="Times New Roman" w:hAnsi="Times New Roman" w:cs="Times New Roman"/>
        </w:rPr>
      </w:pPr>
      <w:r w:rsidRPr="00BD4E37">
        <w:rPr>
          <w:rFonts w:ascii="Times New Roman" w:hAnsi="Times New Roman" w:cs="Times New Roman"/>
        </w:rPr>
        <w:t>A comprehensive theory of SWB which explains its stability and positivity is the homeostasis theory of wellbeing (Cummins, 2010). Homeostasis theory extends upon the idea that individuals have innate set-points of wellbeing which are genetically predisposed. According to homeostasis theory, these set-</w:t>
      </w:r>
      <w:r w:rsidRPr="00130E2A">
        <w:rPr>
          <w:rFonts w:ascii="Times New Roman" w:hAnsi="Times New Roman" w:cs="Times New Roman"/>
        </w:rPr>
        <w:t xml:space="preserve">points represent a core mood, termed Homeostatically Protected Mood (HPMood; Cummins, 2010). Though levels of wellbeing may temporarily rise or fall, internal mechanisms work to return the wellbeing level to its set-point (Cummins, 2010; Cummins et al., 2014). In the case of an overwhelming negative life event, these mechanisms may fail. This is deemed homeostatic defeat where it may take longer for SWB levels to return to its set-point (Cummins, 2010). To understand how this set-point operates at the population level, it is important to have an accurate way of measuring SWB. </w:t>
      </w:r>
    </w:p>
    <w:p w:rsidR="005430A2" w:rsidRPr="00BD4E37" w:rsidRDefault="005430A2" w:rsidP="005430A2">
      <w:pPr>
        <w:pStyle w:val="ListParagraph"/>
        <w:numPr>
          <w:ilvl w:val="1"/>
          <w:numId w:val="33"/>
        </w:numPr>
        <w:spacing w:before="240" w:after="240" w:line="360" w:lineRule="auto"/>
        <w:rPr>
          <w:rFonts w:ascii="Times New Roman" w:hAnsi="Times New Roman" w:cs="Times New Roman"/>
          <w:b/>
          <w:sz w:val="24"/>
          <w:szCs w:val="24"/>
        </w:rPr>
      </w:pPr>
      <w:r w:rsidRPr="00BD4E37">
        <w:rPr>
          <w:rFonts w:ascii="Times New Roman" w:hAnsi="Times New Roman" w:cs="Times New Roman"/>
          <w:b/>
          <w:sz w:val="24"/>
          <w:szCs w:val="24"/>
        </w:rPr>
        <w:t>Measurement of S</w:t>
      </w:r>
      <w:r>
        <w:rPr>
          <w:rFonts w:ascii="Times New Roman" w:hAnsi="Times New Roman" w:cs="Times New Roman"/>
          <w:b/>
          <w:sz w:val="24"/>
          <w:szCs w:val="24"/>
        </w:rPr>
        <w:t>ubjective Wellbeing</w:t>
      </w:r>
    </w:p>
    <w:p w:rsidR="005430A2" w:rsidRPr="00BD4E37" w:rsidRDefault="005430A2" w:rsidP="005430A2">
      <w:pPr>
        <w:spacing w:before="240" w:after="240" w:line="360" w:lineRule="auto"/>
        <w:ind w:firstLine="720"/>
        <w:rPr>
          <w:rFonts w:ascii="Times New Roman" w:hAnsi="Times New Roman" w:cs="Times New Roman"/>
        </w:rPr>
      </w:pPr>
      <w:r w:rsidRPr="00BD4E37">
        <w:rPr>
          <w:rFonts w:ascii="Times New Roman" w:hAnsi="Times New Roman" w:cs="Times New Roman"/>
        </w:rPr>
        <w:t xml:space="preserve">SWB, by definition, renders objective accounts of the construct inaccurate. We are inherently the best judges of our internal states such as our levels of happiness (Kesebir &amp; Diener, 2008). Given the reliance upon self-report measures, it is important that the tools have sound psychometric properties. </w:t>
      </w:r>
    </w:p>
    <w:p w:rsidR="005430A2" w:rsidRPr="00BD4E37" w:rsidRDefault="005430A2" w:rsidP="005430A2">
      <w:pPr>
        <w:spacing w:before="240" w:after="240" w:line="360" w:lineRule="auto"/>
        <w:ind w:firstLine="720"/>
        <w:rPr>
          <w:rFonts w:ascii="Times New Roman" w:hAnsi="Times New Roman" w:cs="Times New Roman"/>
        </w:rPr>
      </w:pPr>
      <w:r w:rsidRPr="00BD4E37">
        <w:rPr>
          <w:rFonts w:ascii="Times New Roman" w:hAnsi="Times New Roman" w:cs="Times New Roman"/>
        </w:rPr>
        <w:t xml:space="preserve">One self-report questionnaire designed to capture SWB is the Personal Wellbeing Index (PWI), developed by the International Wellbeing Group (2013). The PWI is a 7-item tool that asks how satisfied an individual is with certain life domains. These items are usually preceded by an item enquiring about general life satisfaction (GLS). The domain items were purposively designed to deconstruct GLS (International Wellbeing Group, 2013). These domains are: standard of living, health, achieving in life, personal relationships, personal safety, community-connectedness and future security (International Wellbeing Group, 2013). Participants respond to each question using an 11-point end defined scale, with 0 referring to not at all satisfied, and 10 referring to completely satisfied. </w:t>
      </w:r>
    </w:p>
    <w:p w:rsidR="005430A2" w:rsidRPr="00BD4E37" w:rsidRDefault="005430A2" w:rsidP="005430A2">
      <w:pPr>
        <w:pStyle w:val="ListParagraph"/>
        <w:numPr>
          <w:ilvl w:val="1"/>
          <w:numId w:val="30"/>
        </w:numPr>
        <w:spacing w:before="240" w:after="240" w:line="360" w:lineRule="auto"/>
        <w:rPr>
          <w:rFonts w:ascii="Times New Roman" w:hAnsi="Times New Roman" w:cs="Times New Roman"/>
          <w:b/>
          <w:sz w:val="24"/>
          <w:szCs w:val="24"/>
        </w:rPr>
      </w:pPr>
      <w:r w:rsidRPr="00BD4E37">
        <w:rPr>
          <w:rFonts w:ascii="Times New Roman" w:hAnsi="Times New Roman" w:cs="Times New Roman"/>
          <w:b/>
          <w:sz w:val="24"/>
          <w:szCs w:val="24"/>
        </w:rPr>
        <w:t>Methodological Concerns in Questionnaires</w:t>
      </w:r>
      <w:r w:rsidRPr="00BD4E37">
        <w:rPr>
          <w:rFonts w:ascii="Times New Roman" w:hAnsi="Times New Roman" w:cs="Times New Roman"/>
          <w:sz w:val="24"/>
          <w:szCs w:val="24"/>
        </w:rPr>
        <w:t xml:space="preserve"> </w:t>
      </w:r>
    </w:p>
    <w:p w:rsidR="005430A2" w:rsidRPr="00BD4E37" w:rsidRDefault="005430A2" w:rsidP="005430A2">
      <w:pPr>
        <w:spacing w:before="240" w:after="240" w:line="360" w:lineRule="auto"/>
        <w:ind w:firstLine="720"/>
        <w:rPr>
          <w:rFonts w:ascii="Times New Roman" w:hAnsi="Times New Roman" w:cs="Times New Roman"/>
        </w:rPr>
      </w:pPr>
      <w:r w:rsidRPr="00BD4E37">
        <w:rPr>
          <w:rFonts w:ascii="Times New Roman" w:hAnsi="Times New Roman" w:cs="Times New Roman"/>
        </w:rPr>
        <w:t xml:space="preserve">Questionnaires can have inherent problems in relation to structure, content and context (Schuman &amp; Presser, 1987), hence it is important to determine whether responses represent an accurate answer to the question presented or rather, may be an artefact of the questionnaire design. These issues should therefore be considered within tool construction and ongoing development. </w:t>
      </w:r>
    </w:p>
    <w:p w:rsidR="005430A2" w:rsidRPr="00BD4E37" w:rsidRDefault="005430A2" w:rsidP="005430A2">
      <w:pPr>
        <w:spacing w:before="240" w:after="240" w:line="360" w:lineRule="auto"/>
        <w:ind w:firstLine="720"/>
        <w:rPr>
          <w:rFonts w:ascii="Times New Roman" w:hAnsi="Times New Roman" w:cs="Times New Roman"/>
        </w:rPr>
      </w:pPr>
      <w:r w:rsidRPr="00BD4E37">
        <w:rPr>
          <w:rFonts w:ascii="Times New Roman" w:hAnsi="Times New Roman" w:cs="Times New Roman"/>
        </w:rPr>
        <w:t>Since the questionnaire items provide the information to guide responses, the differing levels of specificity of questions can influence the response given (Schuman &amp; Presser, 1987). For example, questions such as ‘how satisfied are you with your health’ and ‘how satisfied are you with your relationships’ satisfy the same amount of specificity. In contrast, the questions ‘how satisfied are you with your health’ and ‘how satisfied are you with your life overall’ constitute different levels of specificity, with the former asking for information more specific than the latter. Questionnaire structures in which general questions precede the more specific ones are termed general-specific, and where specific questions are asked prior to general are termed specific-general (Schwarz, Strack &amp; Mai, 1991). It has been proposed in scientific literature that the order of questions in terms of specificity may influence the types of responses given by individuals (Schuman &amp; Presser, 1987). These phenomena are referred to as order effects.</w:t>
      </w:r>
    </w:p>
    <w:p w:rsidR="005430A2" w:rsidRPr="00BD4E37" w:rsidRDefault="005430A2" w:rsidP="005430A2">
      <w:pPr>
        <w:spacing w:before="240" w:line="360" w:lineRule="auto"/>
        <w:rPr>
          <w:rFonts w:ascii="Times New Roman" w:hAnsi="Times New Roman" w:cs="Times New Roman"/>
          <w:b/>
        </w:rPr>
      </w:pPr>
      <w:r w:rsidRPr="00BD4E37">
        <w:rPr>
          <w:rFonts w:ascii="Times New Roman" w:hAnsi="Times New Roman" w:cs="Times New Roman"/>
          <w:b/>
        </w:rPr>
        <w:t>1.3 Order Effects</w:t>
      </w:r>
    </w:p>
    <w:p w:rsidR="005430A2" w:rsidRPr="00DA5BDD" w:rsidRDefault="005430A2" w:rsidP="005430A2">
      <w:pPr>
        <w:spacing w:before="240" w:line="360" w:lineRule="auto"/>
        <w:ind w:firstLine="720"/>
        <w:rPr>
          <w:rFonts w:ascii="Times New Roman" w:hAnsi="Times New Roman" w:cs="Times New Roman"/>
          <w:color w:val="FF0000"/>
        </w:rPr>
      </w:pPr>
      <w:r w:rsidRPr="00DA5BDD">
        <w:rPr>
          <w:rFonts w:ascii="Times New Roman" w:hAnsi="Times New Roman" w:cs="Times New Roman"/>
        </w:rPr>
        <w:t>Order effects are an important methodological consideration when undertaking self-report measures, though they</w:t>
      </w:r>
      <w:r w:rsidRPr="00084B04">
        <w:rPr>
          <w:rFonts w:ascii="Times New Roman" w:hAnsi="Times New Roman" w:cs="Times New Roman"/>
        </w:rPr>
        <w:t xml:space="preserve"> are consistently overlooked (Schuman &amp; Presser, 1987). Kaplan</w:t>
      </w:r>
      <w:r>
        <w:rPr>
          <w:rFonts w:ascii="Times New Roman" w:hAnsi="Times New Roman" w:cs="Times New Roman"/>
        </w:rPr>
        <w:t>,</w:t>
      </w:r>
      <w:r w:rsidRPr="00084B04">
        <w:rPr>
          <w:rFonts w:ascii="Times New Roman" w:hAnsi="Times New Roman" w:cs="Times New Roman"/>
        </w:rPr>
        <w:t xml:space="preserve"> </w:t>
      </w:r>
      <w:r>
        <w:rPr>
          <w:rFonts w:ascii="Times New Roman" w:hAnsi="Times New Roman" w:cs="Times New Roman"/>
        </w:rPr>
        <w:t>Luckman and Mock</w:t>
      </w:r>
      <w:r w:rsidRPr="00084B04">
        <w:rPr>
          <w:rFonts w:ascii="Times New Roman" w:hAnsi="Times New Roman" w:cs="Times New Roman"/>
        </w:rPr>
        <w:t xml:space="preserve"> (2013) found </w:t>
      </w:r>
      <w:r>
        <w:rPr>
          <w:rFonts w:ascii="Times New Roman" w:hAnsi="Times New Roman" w:cs="Times New Roman"/>
        </w:rPr>
        <w:t xml:space="preserve">evidence </w:t>
      </w:r>
      <w:r w:rsidRPr="00084B04">
        <w:rPr>
          <w:rFonts w:ascii="Times New Roman" w:hAnsi="Times New Roman" w:cs="Times New Roman"/>
        </w:rPr>
        <w:t xml:space="preserve">that the information accessed </w:t>
      </w:r>
      <w:r>
        <w:rPr>
          <w:rFonts w:ascii="Times New Roman" w:hAnsi="Times New Roman" w:cs="Times New Roman"/>
        </w:rPr>
        <w:t>to respond to questionnaire items depended</w:t>
      </w:r>
      <w:r w:rsidRPr="00084B04">
        <w:rPr>
          <w:rFonts w:ascii="Times New Roman" w:hAnsi="Times New Roman" w:cs="Times New Roman"/>
        </w:rPr>
        <w:t xml:space="preserve"> on the ordering of the items. Specifically, having the general item prior to specific items on wellbeing may encourage participants to rely to rely on an affective heuristic, such as HPMood (Cummins, 2010). Placing the general item after the specific items however, may influence participants to use the information in previous items to respond, thus using more cognitive processing. Therefore, the </w:t>
      </w:r>
      <w:r w:rsidRPr="00DA5BDD">
        <w:rPr>
          <w:rFonts w:ascii="Times New Roman" w:hAnsi="Times New Roman" w:cs="Times New Roman"/>
        </w:rPr>
        <w:t>ordering of questions can influence how the items are interpreted, what information to provide in later questions and what information to avoid (Tourangeau &amp; Rasinski, 1988). In particular, the interpretation of such questions are highly influenced by the questions which precede them (Carlson, Marson, Saltiel, &amp; Sanster, 1995; K</w:t>
      </w:r>
      <w:r>
        <w:rPr>
          <w:rFonts w:ascii="Times New Roman" w:hAnsi="Times New Roman" w:cs="Times New Roman"/>
        </w:rPr>
        <w:t xml:space="preserve">aplan et al., </w:t>
      </w:r>
      <w:r w:rsidRPr="00DA5BDD">
        <w:rPr>
          <w:rFonts w:ascii="Times New Roman" w:hAnsi="Times New Roman" w:cs="Times New Roman"/>
        </w:rPr>
        <w:t>2013; Schuman &amp; Presser, 1981) and may produce particular response patterns.</w:t>
      </w:r>
      <w:r>
        <w:rPr>
          <w:rFonts w:ascii="Times New Roman" w:hAnsi="Times New Roman" w:cs="Times New Roman"/>
        </w:rPr>
        <w:t xml:space="preserve"> </w:t>
      </w:r>
      <w:r w:rsidRPr="00DA5BDD">
        <w:rPr>
          <w:rFonts w:ascii="Times New Roman" w:hAnsi="Times New Roman" w:cs="Times New Roman"/>
        </w:rPr>
        <w:t xml:space="preserve">To understand the effects on responses that can occur due to question ordering, two types of response tendencies have been proposed: assimilation and contrast effects (Carlson et al., 1995; Schuman &amp; Presser, 1987; Schwarz et al., 1991).  </w:t>
      </w:r>
    </w:p>
    <w:p w:rsidR="005430A2" w:rsidRPr="00BD4E37" w:rsidRDefault="005430A2" w:rsidP="005430A2">
      <w:pPr>
        <w:pStyle w:val="ListParagraph"/>
        <w:numPr>
          <w:ilvl w:val="2"/>
          <w:numId w:val="35"/>
        </w:numPr>
        <w:spacing w:before="240" w:line="360" w:lineRule="auto"/>
        <w:rPr>
          <w:rFonts w:ascii="Times New Roman" w:hAnsi="Times New Roman" w:cs="Times New Roman"/>
          <w:b/>
          <w:sz w:val="24"/>
          <w:szCs w:val="24"/>
        </w:rPr>
      </w:pPr>
      <w:r w:rsidRPr="00BD4E37">
        <w:rPr>
          <w:rFonts w:ascii="Times New Roman" w:hAnsi="Times New Roman" w:cs="Times New Roman"/>
          <w:b/>
          <w:sz w:val="24"/>
          <w:szCs w:val="24"/>
        </w:rPr>
        <w:t>Assimilation Effects</w:t>
      </w:r>
    </w:p>
    <w:p w:rsidR="005430A2" w:rsidRPr="00BD4E37" w:rsidRDefault="005430A2" w:rsidP="005430A2">
      <w:pPr>
        <w:spacing w:before="240" w:line="360" w:lineRule="auto"/>
        <w:ind w:firstLine="720"/>
        <w:rPr>
          <w:rFonts w:ascii="Times New Roman" w:hAnsi="Times New Roman" w:cs="Times New Roman"/>
          <w:b/>
        </w:rPr>
      </w:pPr>
      <w:r w:rsidRPr="00BD4E37">
        <w:rPr>
          <w:rFonts w:ascii="Times New Roman" w:hAnsi="Times New Roman" w:cs="Times New Roman"/>
        </w:rPr>
        <w:t>When responses to items are highly correlated with each other, it is explained as an assimilation effect. This effect generally occurs because individuals wish to be consistent in their responses (Tou</w:t>
      </w:r>
      <w:r>
        <w:rPr>
          <w:rFonts w:ascii="Times New Roman" w:hAnsi="Times New Roman" w:cs="Times New Roman"/>
        </w:rPr>
        <w:t>rangeau &amp; Rasinski, 1988) and so</w:t>
      </w:r>
      <w:r w:rsidRPr="00BD4E37">
        <w:rPr>
          <w:rFonts w:ascii="Times New Roman" w:hAnsi="Times New Roman" w:cs="Times New Roman"/>
        </w:rPr>
        <w:t xml:space="preserve"> their responses are seen to correlate or ‘assimilate’ highly with one another (Carlson et al., 1995; Schuman &amp; Presser, 1987). Assimilation effects tend to occur as a result of accessibility of information or summarising prior responses. In the former situation, information provided in questions can prime certain information which can be used to inf</w:t>
      </w:r>
      <w:r>
        <w:rPr>
          <w:rFonts w:ascii="Times New Roman" w:hAnsi="Times New Roman" w:cs="Times New Roman"/>
        </w:rPr>
        <w:t xml:space="preserve">orm responses in later questions </w:t>
      </w:r>
      <w:r w:rsidRPr="00BD4E37">
        <w:rPr>
          <w:rFonts w:ascii="Times New Roman" w:hAnsi="Times New Roman" w:cs="Times New Roman"/>
        </w:rPr>
        <w:t xml:space="preserve">(Tourangeau &amp; Rasinski, 1988). In the latter, assimilation effects may transpire as later questions become a chance for individuals to summarise information provided earlier (Schwartz et al., 1991). </w:t>
      </w:r>
    </w:p>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To illustrate the effect of assimilation, Schuman and Presser (1987) reviewed seven experiments conducted upon question order effects. O</w:t>
      </w:r>
      <w:r>
        <w:rPr>
          <w:rFonts w:ascii="Times New Roman" w:hAnsi="Times New Roman" w:cs="Times New Roman"/>
        </w:rPr>
        <w:t xml:space="preserve">ne study analysed the impact of </w:t>
      </w:r>
      <w:r w:rsidRPr="00BD4E37">
        <w:rPr>
          <w:rFonts w:ascii="Times New Roman" w:hAnsi="Times New Roman" w:cs="Times New Roman"/>
        </w:rPr>
        <w:t xml:space="preserve">questionnaire structure on a measure which contained two questions, one specific in regards to marital happiness and a general question on overall happiness (Schuman &amp; Presser, 1987). Responses between the two questions tended to correlate highly when the structure was arranged specific-general as compared to a general-specific condition. Assimilation was said to have occurred as participants tended to define general happiness in relation to the specific question (Schuman &amp; Presser, 1987). It was argued that in the specific-general condition, respondents had information from the prior question to base their response to the general item upon. </w:t>
      </w:r>
    </w:p>
    <w:p w:rsidR="005430A2" w:rsidRPr="00BD4E37" w:rsidRDefault="005430A2" w:rsidP="005430A2">
      <w:pPr>
        <w:spacing w:before="240" w:after="240" w:line="360" w:lineRule="auto"/>
        <w:ind w:firstLine="720"/>
        <w:rPr>
          <w:rFonts w:ascii="Times New Roman" w:hAnsi="Times New Roman" w:cs="Times New Roman"/>
        </w:rPr>
      </w:pPr>
      <w:r w:rsidRPr="00BD4E37">
        <w:rPr>
          <w:rFonts w:ascii="Times New Roman" w:hAnsi="Times New Roman" w:cs="Times New Roman"/>
        </w:rPr>
        <w:t xml:space="preserve">Additionally, Schwarz et al. (1991) presented an analysis on questionnaires using life satisfaction to measure wellbeing. This study manipulated the question order to determine whether the order yielded any response effects. Specific life satisfaction questions included relationship and work satisfaction while the general question asked about satisfaction with life overall. These items were rated on an 11-point Likert scale (1, very dissatisfied and 11, very satisfied). Results revealed that correlations between the responses to the questions were higher in the specific-general condition as compared to the general-specific condition (Schwarz et al., 1991). In the specific-general condition, the information in the preceding questions supposedly primed information for latter questions, and so the general question became a summary of the specific questions. This represented an assimilation effect. </w:t>
      </w:r>
    </w:p>
    <w:p w:rsidR="005430A2" w:rsidRPr="00BD4E37" w:rsidRDefault="005430A2" w:rsidP="005430A2">
      <w:pPr>
        <w:spacing w:before="240" w:after="240" w:line="360" w:lineRule="auto"/>
        <w:ind w:firstLine="720"/>
        <w:rPr>
          <w:rFonts w:ascii="Times New Roman" w:hAnsi="Times New Roman" w:cs="Times New Roman"/>
        </w:rPr>
      </w:pPr>
      <w:r w:rsidRPr="00BD4E37">
        <w:rPr>
          <w:rFonts w:ascii="Times New Roman" w:hAnsi="Times New Roman" w:cs="Times New Roman"/>
        </w:rPr>
        <w:t xml:space="preserve">Despite these findings, assimilations effects do not always occur. An alternative response set where individuals tend to provide new information to avoid redundancy in their responses is termed a contrast effect. </w:t>
      </w:r>
    </w:p>
    <w:p w:rsidR="005430A2" w:rsidRPr="00BD4E37" w:rsidRDefault="005430A2" w:rsidP="005430A2">
      <w:pPr>
        <w:spacing w:before="240" w:line="360" w:lineRule="auto"/>
        <w:ind w:firstLine="720"/>
        <w:rPr>
          <w:rFonts w:ascii="Times New Roman" w:hAnsi="Times New Roman" w:cs="Times New Roman"/>
          <w:b/>
        </w:rPr>
      </w:pPr>
      <w:r w:rsidRPr="00BD4E37">
        <w:rPr>
          <w:rFonts w:ascii="Times New Roman" w:hAnsi="Times New Roman" w:cs="Times New Roman"/>
          <w:b/>
        </w:rPr>
        <w:t>1.3.2 Contrast Effects</w:t>
      </w:r>
    </w:p>
    <w:p w:rsidR="005430A2" w:rsidRPr="00BD4E37" w:rsidRDefault="005430A2" w:rsidP="005430A2">
      <w:pPr>
        <w:spacing w:before="240" w:line="360" w:lineRule="auto"/>
        <w:rPr>
          <w:rFonts w:ascii="Times New Roman" w:hAnsi="Times New Roman" w:cs="Times New Roman"/>
        </w:rPr>
      </w:pPr>
      <w:r w:rsidRPr="00BD4E37">
        <w:rPr>
          <w:rFonts w:ascii="Times New Roman" w:hAnsi="Times New Roman" w:cs="Times New Roman"/>
        </w:rPr>
        <w:tab/>
        <w:t xml:space="preserve">Contrast effects </w:t>
      </w:r>
      <w:r w:rsidRPr="00366BD4">
        <w:rPr>
          <w:rFonts w:ascii="Times New Roman" w:hAnsi="Times New Roman" w:cs="Times New Roman"/>
        </w:rPr>
        <w:t xml:space="preserve">describe a response tendency in which individuals avoid redundancy in their responses. When questions appear to ask for different information, individuals tend to use different information </w:t>
      </w:r>
      <w:r w:rsidRPr="00BD4E37">
        <w:rPr>
          <w:rFonts w:ascii="Times New Roman" w:hAnsi="Times New Roman" w:cs="Times New Roman"/>
        </w:rPr>
        <w:t>to base their responses upon (Carlson et al., 1995) and so the responses are seen as ‘contrasting’ with one another. This response tendency is said to occur less often than assimilation effects, yet when it occurs it is seen as resulting from individuals distancing their subsequent responses from those that precede it (Schuman &amp; Presser, 1987)</w:t>
      </w:r>
    </w:p>
    <w:p w:rsidR="005430A2" w:rsidRPr="00DE60F1"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Underlying this effect is the idea of basic conversational rule, which states that information provided should not be repetitive (Strack, Martin &amp; Schwarz, 1988). As occurs in a verbal conversation, social norms dictate to participants that they should provide new information as the conversation continues (Schwarz et al., 1991). In the context of a questionnaire,</w:t>
      </w:r>
      <w:r w:rsidRPr="00BD4E37">
        <w:rPr>
          <w:rFonts w:ascii="Times New Roman" w:hAnsi="Times New Roman" w:cs="Times New Roman"/>
          <w:b/>
        </w:rPr>
        <w:t xml:space="preserve"> </w:t>
      </w:r>
      <w:r w:rsidRPr="00BD4E37">
        <w:rPr>
          <w:rFonts w:ascii="Times New Roman" w:hAnsi="Times New Roman" w:cs="Times New Roman"/>
        </w:rPr>
        <w:t>if items are perceived as asking about different elements, individuals tend not to provide the same information for more than one question so as to avoid redundancy in responses (Tourangeau &amp; Rasinski, 1988).</w:t>
      </w:r>
    </w:p>
    <w:p w:rsidR="005430A2" w:rsidRPr="00FB681C" w:rsidRDefault="005430A2" w:rsidP="005430A2">
      <w:pPr>
        <w:spacing w:before="240" w:after="240" w:line="360" w:lineRule="auto"/>
        <w:ind w:firstLine="720"/>
        <w:rPr>
          <w:rFonts w:ascii="Times New Roman" w:hAnsi="Times New Roman" w:cs="Times New Roman"/>
        </w:rPr>
      </w:pPr>
      <w:r w:rsidRPr="00BD4E37">
        <w:rPr>
          <w:rFonts w:ascii="Times New Roman" w:hAnsi="Times New Roman" w:cs="Times New Roman"/>
        </w:rPr>
        <w:t xml:space="preserve">In two studies, Strack et al. (1988) and Schwarz et al. (1991) </w:t>
      </w:r>
      <w:r>
        <w:rPr>
          <w:rFonts w:ascii="Times New Roman" w:hAnsi="Times New Roman" w:cs="Times New Roman"/>
        </w:rPr>
        <w:t xml:space="preserve">manipulated their studies to induce a conversation context, </w:t>
      </w:r>
      <w:r w:rsidRPr="00BD4E37">
        <w:rPr>
          <w:rFonts w:ascii="Times New Roman" w:hAnsi="Times New Roman" w:cs="Times New Roman"/>
        </w:rPr>
        <w:t xml:space="preserve">such that the participants </w:t>
      </w:r>
      <w:r>
        <w:rPr>
          <w:rFonts w:ascii="Times New Roman" w:hAnsi="Times New Roman" w:cs="Times New Roman"/>
        </w:rPr>
        <w:t>were</w:t>
      </w:r>
      <w:r w:rsidRPr="00BD4E37">
        <w:rPr>
          <w:rFonts w:ascii="Times New Roman" w:hAnsi="Times New Roman" w:cs="Times New Roman"/>
        </w:rPr>
        <w:t xml:space="preserve"> discouraged to use the same information for following questions</w:t>
      </w:r>
      <w:r w:rsidRPr="00B60FDC">
        <w:rPr>
          <w:rFonts w:ascii="Times New Roman" w:hAnsi="Times New Roman" w:cs="Times New Roman"/>
        </w:rPr>
        <w:t xml:space="preserve">. </w:t>
      </w:r>
      <w:r>
        <w:rPr>
          <w:rFonts w:ascii="Times New Roman" w:hAnsi="Times New Roman" w:cs="Times New Roman"/>
        </w:rPr>
        <w:t>The two studies</w:t>
      </w:r>
      <w:r w:rsidRPr="00B60FDC">
        <w:rPr>
          <w:rFonts w:ascii="Times New Roman" w:hAnsi="Times New Roman" w:cs="Times New Roman"/>
        </w:rPr>
        <w:t xml:space="preserve"> utilised </w:t>
      </w:r>
      <w:r>
        <w:rPr>
          <w:rFonts w:ascii="Times New Roman" w:hAnsi="Times New Roman" w:cs="Times New Roman"/>
        </w:rPr>
        <w:t xml:space="preserve">a </w:t>
      </w:r>
      <w:r w:rsidRPr="00B60FDC">
        <w:rPr>
          <w:rFonts w:ascii="Times New Roman" w:hAnsi="Times New Roman" w:cs="Times New Roman"/>
        </w:rPr>
        <w:t xml:space="preserve">different questionnaire, yet each contained specific items on satisfaction with romantic relationships and a general item on satisfaction with life overall. Conditions </w:t>
      </w:r>
      <w:r>
        <w:rPr>
          <w:rFonts w:ascii="Times New Roman" w:hAnsi="Times New Roman" w:cs="Times New Roman"/>
        </w:rPr>
        <w:t xml:space="preserve">received the questionnaire in different formats, with one group receiving a general-specific format for comparison and other groups receiving the questionnaire in specific-general format with and without a conversation context induced. </w:t>
      </w:r>
      <w:r w:rsidRPr="00FB681C">
        <w:rPr>
          <w:rFonts w:ascii="Times New Roman" w:hAnsi="Times New Roman" w:cs="Times New Roman"/>
        </w:rPr>
        <w:t xml:space="preserve">The </w:t>
      </w:r>
      <w:r>
        <w:rPr>
          <w:rFonts w:ascii="Times New Roman" w:hAnsi="Times New Roman" w:cs="Times New Roman"/>
        </w:rPr>
        <w:t>conversational context indicated that the questions would ask about two distinct areas of satisfaction. The control group displayed no order effects, while the specific-general condition without context displayed an assimilation effect. In contrast, the condition in which a conversational</w:t>
      </w:r>
      <w:r w:rsidRPr="00BD4E37">
        <w:rPr>
          <w:rFonts w:ascii="Times New Roman" w:hAnsi="Times New Roman" w:cs="Times New Roman"/>
        </w:rPr>
        <w:t xml:space="preserve"> context </w:t>
      </w:r>
      <w:r>
        <w:rPr>
          <w:rFonts w:ascii="Times New Roman" w:hAnsi="Times New Roman" w:cs="Times New Roman"/>
        </w:rPr>
        <w:t xml:space="preserve">was present </w:t>
      </w:r>
      <w:r w:rsidRPr="00BD4E37">
        <w:rPr>
          <w:rFonts w:ascii="Times New Roman" w:hAnsi="Times New Roman" w:cs="Times New Roman"/>
        </w:rPr>
        <w:t>tended to influence individuals</w:t>
      </w:r>
      <w:r>
        <w:rPr>
          <w:rFonts w:ascii="Times New Roman" w:hAnsi="Times New Roman" w:cs="Times New Roman"/>
        </w:rPr>
        <w:t xml:space="preserve"> to </w:t>
      </w:r>
      <w:r w:rsidRPr="00BD4E37">
        <w:rPr>
          <w:rFonts w:ascii="Times New Roman" w:hAnsi="Times New Roman" w:cs="Times New Roman"/>
        </w:rPr>
        <w:t>find different inform</w:t>
      </w:r>
      <w:r>
        <w:rPr>
          <w:rFonts w:ascii="Times New Roman" w:hAnsi="Times New Roman" w:cs="Times New Roman"/>
        </w:rPr>
        <w:t>ation to answer latter question and therefore the</w:t>
      </w:r>
      <w:r w:rsidRPr="00BD4E37">
        <w:rPr>
          <w:rFonts w:ascii="Times New Roman" w:hAnsi="Times New Roman" w:cs="Times New Roman"/>
        </w:rPr>
        <w:t xml:space="preserve"> responses were seen as ‘contrasting’ with one another. </w:t>
      </w:r>
    </w:p>
    <w:p w:rsidR="005430A2" w:rsidRPr="00BD4E37" w:rsidRDefault="005430A2" w:rsidP="005430A2">
      <w:pPr>
        <w:spacing w:before="240" w:after="240" w:line="360" w:lineRule="auto"/>
        <w:ind w:firstLine="720"/>
        <w:rPr>
          <w:rFonts w:ascii="Times New Roman" w:hAnsi="Times New Roman" w:cs="Times New Roman"/>
          <w:color w:val="FF0000"/>
        </w:rPr>
      </w:pPr>
      <w:r w:rsidRPr="00BD4E37">
        <w:rPr>
          <w:rFonts w:ascii="Times New Roman" w:hAnsi="Times New Roman" w:cs="Times New Roman"/>
        </w:rPr>
        <w:t xml:space="preserve">Further, in a study reviewed by Schuman and Presser (1987) a contrast effect was found to occur without conversational context information. This study involved a questionnaire on abortion consisting of two items, a general item on whether abortion should be legalised and a specific question on whether abortion due to defect in the baby should be legalised. An order effect was said to occur as agreement with the general question was 17.4 percent higher in the general-specific condition (Schuman &amp; Presser, 1987). This response set may be explained by a contrast effect in the specific-general condition, whereby participants perceived the general question as separate to the case presented previously. </w:t>
      </w:r>
      <w:r>
        <w:rPr>
          <w:rFonts w:ascii="Times New Roman" w:hAnsi="Times New Roman" w:cs="Times New Roman"/>
        </w:rPr>
        <w:t xml:space="preserve">It is expected that although </w:t>
      </w:r>
      <w:r w:rsidRPr="00BD4E37">
        <w:rPr>
          <w:rFonts w:ascii="Times New Roman" w:hAnsi="Times New Roman" w:cs="Times New Roman"/>
        </w:rPr>
        <w:t>conversational context</w:t>
      </w:r>
      <w:r>
        <w:rPr>
          <w:rFonts w:ascii="Times New Roman" w:hAnsi="Times New Roman" w:cs="Times New Roman"/>
        </w:rPr>
        <w:t xml:space="preserve"> information</w:t>
      </w:r>
      <w:r w:rsidRPr="00BD4E37">
        <w:rPr>
          <w:rFonts w:ascii="Times New Roman" w:hAnsi="Times New Roman" w:cs="Times New Roman"/>
        </w:rPr>
        <w:t xml:space="preserve"> was not explicitly described</w:t>
      </w:r>
      <w:r>
        <w:rPr>
          <w:rFonts w:ascii="Times New Roman" w:hAnsi="Times New Roman" w:cs="Times New Roman"/>
        </w:rPr>
        <w:t>, the context of birth defect described in the specific question</w:t>
      </w:r>
      <w:r w:rsidRPr="00BD4E37">
        <w:rPr>
          <w:rFonts w:ascii="Times New Roman" w:hAnsi="Times New Roman" w:cs="Times New Roman"/>
        </w:rPr>
        <w:t xml:space="preserve"> may have suggested that the general question was in a different conversational context</w:t>
      </w:r>
      <w:r>
        <w:rPr>
          <w:rFonts w:ascii="Times New Roman" w:hAnsi="Times New Roman" w:cs="Times New Roman"/>
        </w:rPr>
        <w:t>, that is, abortion where a birth defect is not present.</w:t>
      </w:r>
    </w:p>
    <w:p w:rsidR="005430A2" w:rsidRPr="00806266" w:rsidRDefault="005430A2" w:rsidP="005430A2">
      <w:pPr>
        <w:spacing w:before="240" w:line="360" w:lineRule="auto"/>
        <w:rPr>
          <w:rFonts w:ascii="Times New Roman" w:hAnsi="Times New Roman" w:cs="Times New Roman"/>
          <w:b/>
        </w:rPr>
      </w:pPr>
      <w:r>
        <w:rPr>
          <w:rFonts w:ascii="Times New Roman" w:hAnsi="Times New Roman" w:cs="Times New Roman"/>
          <w:b/>
        </w:rPr>
        <w:tab/>
      </w:r>
      <w:r w:rsidRPr="00806266">
        <w:rPr>
          <w:rFonts w:ascii="Times New Roman" w:hAnsi="Times New Roman" w:cs="Times New Roman"/>
          <w:b/>
        </w:rPr>
        <w:t xml:space="preserve">1.3.3 Summary </w:t>
      </w:r>
    </w:p>
    <w:p w:rsidR="005430A2"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When a number of questions are presented together as part of a questionnaire, order effects are a common occurrence (Schuman &amp; Presser, 1987). General questions that appear as summary type questions appear more sensitive to order effects than specific questions, and so specific-general questionnaire formats are thought to be especially susceptible to order effects (Schuman &amp; Presser, 1987). These effects, however, do not always occur and are therefore difficult to predict (Schuman &amp; Presser, 1987; Tourangeau &amp; Rasinski, 1988). Given that order effects can effectively induce different responses to questionnaire items, it is important to consider whether standard robust measures are resistant to these factors</w:t>
      </w:r>
      <w:r>
        <w:rPr>
          <w:rFonts w:ascii="Times New Roman" w:hAnsi="Times New Roman" w:cs="Times New Roman"/>
        </w:rPr>
        <w:t xml:space="preserve">. </w:t>
      </w:r>
    </w:p>
    <w:p w:rsidR="005430A2" w:rsidRPr="00BD4E37" w:rsidRDefault="005430A2" w:rsidP="005430A2">
      <w:pPr>
        <w:spacing w:before="240" w:line="360" w:lineRule="auto"/>
        <w:rPr>
          <w:rFonts w:ascii="Times New Roman" w:hAnsi="Times New Roman" w:cs="Times New Roman"/>
          <w:b/>
        </w:rPr>
      </w:pPr>
      <w:r w:rsidRPr="00BD4E37">
        <w:rPr>
          <w:rFonts w:ascii="Times New Roman" w:hAnsi="Times New Roman" w:cs="Times New Roman"/>
          <w:b/>
        </w:rPr>
        <w:t>1.4 Introduction to the Present Study</w:t>
      </w:r>
    </w:p>
    <w:p w:rsidR="005430A2" w:rsidRPr="00BD4E37" w:rsidRDefault="005430A2" w:rsidP="005430A2">
      <w:pPr>
        <w:spacing w:before="240" w:line="360" w:lineRule="auto"/>
        <w:ind w:firstLine="720"/>
        <w:rPr>
          <w:rFonts w:ascii="Times New Roman" w:hAnsi="Times New Roman" w:cs="Times New Roman"/>
          <w:color w:val="FF0000"/>
        </w:rPr>
      </w:pPr>
      <w:r w:rsidRPr="00BD4E37">
        <w:rPr>
          <w:rFonts w:ascii="Times New Roman" w:hAnsi="Times New Roman" w:cs="Times New Roman"/>
        </w:rPr>
        <w:t>The PWI provides a perfect example of a standardised and psychometrically sound instrument within which to explore the nature of order effects.</w:t>
      </w:r>
      <w:r>
        <w:rPr>
          <w:rFonts w:ascii="Times New Roman" w:hAnsi="Times New Roman" w:cs="Times New Roman"/>
          <w:color w:val="FF0000"/>
        </w:rPr>
        <w:t xml:space="preserve"> </w:t>
      </w:r>
      <w:r w:rsidRPr="00BD4E37">
        <w:rPr>
          <w:rFonts w:ascii="Times New Roman" w:hAnsi="Times New Roman" w:cs="Times New Roman"/>
        </w:rPr>
        <w:t>This tool has high internal reliability, with Cronbach’s alpha lying between .70 and .85 both nationally and internationally and test-retest reliability is high wit</w:t>
      </w:r>
      <w:r>
        <w:rPr>
          <w:rFonts w:ascii="Times New Roman" w:hAnsi="Times New Roman" w:cs="Times New Roman"/>
        </w:rPr>
        <w:t xml:space="preserve">h a correlation coefficient at </w:t>
      </w:r>
      <w:r w:rsidRPr="00BD4E37">
        <w:rPr>
          <w:rFonts w:ascii="Times New Roman" w:hAnsi="Times New Roman" w:cs="Times New Roman"/>
        </w:rPr>
        <w:t xml:space="preserve">.84 (Lau &amp; Cummins, 2005). Furthermore, the instrument has high construct validity, with the shared and unique variance of these </w:t>
      </w:r>
      <w:r>
        <w:rPr>
          <w:rFonts w:ascii="Times New Roman" w:hAnsi="Times New Roman" w:cs="Times New Roman"/>
        </w:rPr>
        <w:t xml:space="preserve">domains typically explaining 40 to </w:t>
      </w:r>
      <w:r w:rsidRPr="00BD4E37">
        <w:rPr>
          <w:rFonts w:ascii="Times New Roman" w:hAnsi="Times New Roman" w:cs="Times New Roman"/>
        </w:rPr>
        <w:t>60</w:t>
      </w:r>
      <w:r>
        <w:rPr>
          <w:rFonts w:ascii="Times New Roman" w:hAnsi="Times New Roman" w:cs="Times New Roman"/>
        </w:rPr>
        <w:t xml:space="preserve"> percent</w:t>
      </w:r>
      <w:r w:rsidRPr="00BD4E37">
        <w:rPr>
          <w:rFonts w:ascii="Times New Roman" w:hAnsi="Times New Roman" w:cs="Times New Roman"/>
        </w:rPr>
        <w:t xml:space="preserve"> of the variance in global life satisfaction (International Wellbeing Group, 2013). The PWI items also converge onto a single factor, and reflect a single construct (International Wellbeing Group, 2013).</w:t>
      </w:r>
      <w:r>
        <w:rPr>
          <w:rFonts w:ascii="Times New Roman" w:hAnsi="Times New Roman" w:cs="Times New Roman"/>
        </w:rPr>
        <w:t xml:space="preserve"> With regards to the scale used to record responses for the PWI, the 11-point end defined scale was chosen at it was deemed most applicable to detect sensitive changes in responses, important in the measure SWB (Cummins &amp; Gullone, 2000).</w:t>
      </w:r>
      <w:r w:rsidRPr="00BD4E37">
        <w:rPr>
          <w:rFonts w:ascii="Times New Roman" w:hAnsi="Times New Roman" w:cs="Times New Roman"/>
        </w:rPr>
        <w:t xml:space="preserve"> In summary, the psychometric properties of the PWI have been well-established, and the tool is seen as a reliable, valid and sensitive instrument to measure SWB (Cummins, Eckersley, Pallant, Vugt &amp; Misajon, 2003). </w:t>
      </w:r>
    </w:p>
    <w:p w:rsidR="005430A2" w:rsidRPr="000F5035" w:rsidRDefault="005430A2" w:rsidP="005430A2">
      <w:pPr>
        <w:spacing w:before="240" w:line="360" w:lineRule="auto"/>
        <w:ind w:firstLine="720"/>
        <w:rPr>
          <w:rFonts w:ascii="Times New Roman" w:hAnsi="Times New Roman" w:cs="Times New Roman"/>
          <w:color w:val="FF0000"/>
        </w:rPr>
      </w:pPr>
      <w:r w:rsidRPr="00C67025">
        <w:rPr>
          <w:rFonts w:ascii="Times New Roman" w:hAnsi="Times New Roman" w:cs="Times New Roman"/>
        </w:rPr>
        <w:t xml:space="preserve">The PWI is one of the recommended SWB measures of the Organisation for Economic Cooperation and Development (OECD, 2013). In their guidelines on measuring SWB (2013), they acknowledge the impact of order effects and advice caution when developing wellbeing measures. The </w:t>
      </w:r>
      <w:r w:rsidRPr="00BD4E37">
        <w:rPr>
          <w:rFonts w:ascii="Times New Roman" w:hAnsi="Times New Roman" w:cs="Times New Roman"/>
        </w:rPr>
        <w:t>PWI manual specifies a strict question order that follows a general-specific format, such that the specific life dom</w:t>
      </w:r>
      <w:r w:rsidRPr="00D359ED">
        <w:rPr>
          <w:rFonts w:ascii="Times New Roman" w:hAnsi="Times New Roman" w:cs="Times New Roman"/>
        </w:rPr>
        <w:t xml:space="preserve">ains follow the broader GLS item. If the PWI constitutes a psychometrically sound measure of wellbeing that truly captures the nuances of SWB, it should be resistant to order effects. Further, this understanding of order effects could have implications for other measurement tools. Thus, determining the influence of order effects in the PWI will not only contribute to understanding of the psychometric properties of this measure, but will extend the understanding of the ways in which order effects influence responses to questionnaires in general. </w:t>
      </w:r>
      <w:r w:rsidRPr="00BD4E37">
        <w:rPr>
          <w:rFonts w:ascii="Times New Roman" w:hAnsi="Times New Roman" w:cs="Times New Roman"/>
        </w:rPr>
        <w:t>For the current study, the psychometric properties of the PWI will be investigated within the context of order effects. The ordering of questions will be manipulated, to mimic a specific-general format. This will enable a comparison between the two ordering systems.</w:t>
      </w:r>
    </w:p>
    <w:p w:rsidR="005430A2" w:rsidRPr="00BD4E37" w:rsidRDefault="005430A2" w:rsidP="005430A2">
      <w:pPr>
        <w:spacing w:before="240" w:line="360" w:lineRule="auto"/>
        <w:ind w:firstLine="720"/>
        <w:rPr>
          <w:rFonts w:ascii="Times New Roman" w:hAnsi="Times New Roman" w:cs="Times New Roman"/>
          <w:color w:val="FF0000"/>
        </w:rPr>
      </w:pPr>
      <w:r w:rsidRPr="00BD4E37">
        <w:rPr>
          <w:rFonts w:ascii="Times New Roman" w:hAnsi="Times New Roman" w:cs="Times New Roman"/>
        </w:rPr>
        <w:t xml:space="preserve">Based on prior findings by </w:t>
      </w:r>
      <w:r w:rsidRPr="00BD4E37">
        <w:rPr>
          <w:rStyle w:val="Hyperlink"/>
          <w:rFonts w:ascii="Times New Roman" w:hAnsi="Times New Roman" w:cs="Times New Roman"/>
        </w:rPr>
        <w:t xml:space="preserve">Kaplan et al. (2013), where a significant difference was revealed between groups for the </w:t>
      </w:r>
      <w:r>
        <w:rPr>
          <w:rStyle w:val="Hyperlink"/>
          <w:rFonts w:ascii="Times New Roman" w:hAnsi="Times New Roman" w:cs="Times New Roman"/>
        </w:rPr>
        <w:t>GLS</w:t>
      </w:r>
      <w:r w:rsidRPr="00BD4E37">
        <w:rPr>
          <w:rStyle w:val="Hyperlink"/>
          <w:rFonts w:ascii="Times New Roman" w:hAnsi="Times New Roman" w:cs="Times New Roman"/>
        </w:rPr>
        <w:t xml:space="preserve"> item, </w:t>
      </w:r>
      <w:r w:rsidRPr="00BD4E37">
        <w:rPr>
          <w:rFonts w:ascii="Times New Roman" w:hAnsi="Times New Roman" w:cs="Times New Roman"/>
        </w:rPr>
        <w:t>it was hypothesised that there will be</w:t>
      </w:r>
      <w:r>
        <w:rPr>
          <w:rFonts w:ascii="Times New Roman" w:hAnsi="Times New Roman" w:cs="Times New Roman"/>
        </w:rPr>
        <w:t xml:space="preserve"> a significant difference in GLS</w:t>
      </w:r>
      <w:r w:rsidRPr="00BD4E37">
        <w:rPr>
          <w:rFonts w:ascii="Times New Roman" w:hAnsi="Times New Roman" w:cs="Times New Roman"/>
        </w:rPr>
        <w:t xml:space="preserve"> between the two conditions in the present study. </w:t>
      </w:r>
    </w:p>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 xml:space="preserve">Despite the question order manipulation, PWI items should still reveal a single factor, representing SWB, in each condition. It is hypothesised that for both conditions, a similar factor structure for the seven PWI items should emerge. </w:t>
      </w:r>
    </w:p>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Finally, assimilation effects predict that individuals in the specific-general condition will tend to average their responses to the previous questions to generate an overall wellbeing score. It is thus hypothesised that the specific questions should explain more variance in GLS within the specific-general condition compared to the general-specific condition.</w:t>
      </w:r>
    </w:p>
    <w:p w:rsidR="005430A2" w:rsidRPr="00BD4E37" w:rsidRDefault="005430A2" w:rsidP="005430A2">
      <w:pPr>
        <w:spacing w:before="240" w:line="360" w:lineRule="auto"/>
        <w:jc w:val="center"/>
        <w:rPr>
          <w:rFonts w:ascii="Times New Roman" w:hAnsi="Times New Roman" w:cs="Times New Roman"/>
          <w:b/>
        </w:rPr>
      </w:pPr>
      <w:r w:rsidRPr="00BD4E37">
        <w:rPr>
          <w:rFonts w:ascii="Times New Roman" w:hAnsi="Times New Roman" w:cs="Times New Roman"/>
          <w:b/>
        </w:rPr>
        <w:t>2. Method</w:t>
      </w:r>
    </w:p>
    <w:p w:rsidR="005430A2" w:rsidRPr="00BD4E37" w:rsidRDefault="005430A2" w:rsidP="005430A2">
      <w:pPr>
        <w:spacing w:before="240" w:line="360" w:lineRule="auto"/>
        <w:rPr>
          <w:rFonts w:ascii="Times New Roman" w:hAnsi="Times New Roman" w:cs="Times New Roman"/>
          <w:b/>
        </w:rPr>
      </w:pPr>
      <w:r w:rsidRPr="00BD4E37">
        <w:rPr>
          <w:rFonts w:ascii="Times New Roman" w:hAnsi="Times New Roman" w:cs="Times New Roman"/>
          <w:b/>
        </w:rPr>
        <w:t>2.1 Participants</w:t>
      </w:r>
    </w:p>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The 653 participants in this study consisted of 159 males (24.3%) and 491 females (75.2%). The age range of the sample was between 18 and 84 years, wit</w:t>
      </w:r>
      <w:r>
        <w:rPr>
          <w:rFonts w:ascii="Times New Roman" w:hAnsi="Times New Roman" w:cs="Times New Roman"/>
        </w:rPr>
        <w:t>h a mean age of 30.74 years (SD</w:t>
      </w:r>
      <w:r w:rsidRPr="00BD4E37">
        <w:rPr>
          <w:rFonts w:ascii="Times New Roman" w:hAnsi="Times New Roman" w:cs="Times New Roman"/>
        </w:rPr>
        <w:t>= 13.51). The majority of the sample were ne</w:t>
      </w:r>
      <w:r>
        <w:rPr>
          <w:rFonts w:ascii="Times New Roman" w:hAnsi="Times New Roman" w:cs="Times New Roman"/>
        </w:rPr>
        <w:t xml:space="preserve">ver married (54.2%) and in full </w:t>
      </w:r>
      <w:r w:rsidRPr="00BD4E37">
        <w:rPr>
          <w:rFonts w:ascii="Times New Roman" w:hAnsi="Times New Roman" w:cs="Times New Roman"/>
        </w:rPr>
        <w:t>time study (42.4%) or full time paid employment (26.4%). Household income in the sample was categorised in</w:t>
      </w:r>
      <w:r>
        <w:rPr>
          <w:rFonts w:ascii="Times New Roman" w:hAnsi="Times New Roman" w:cs="Times New Roman"/>
        </w:rPr>
        <w:t>to</w:t>
      </w:r>
      <w:r w:rsidRPr="00BD4E37">
        <w:rPr>
          <w:rFonts w:ascii="Times New Roman" w:hAnsi="Times New Roman" w:cs="Times New Roman"/>
        </w:rPr>
        <w:t xml:space="preserve"> three groups, less than $60,000 (45%), $61,000 to $150,000 (32.6%) and more than $150,000 (13%). </w:t>
      </w:r>
    </w:p>
    <w:p w:rsidR="005430A2" w:rsidRPr="00BD4E37" w:rsidRDefault="005430A2" w:rsidP="005430A2">
      <w:pPr>
        <w:spacing w:before="240" w:line="360" w:lineRule="auto"/>
        <w:rPr>
          <w:rFonts w:ascii="Times New Roman" w:hAnsi="Times New Roman" w:cs="Times New Roman"/>
        </w:rPr>
      </w:pPr>
      <w:r w:rsidRPr="00BD4E37">
        <w:rPr>
          <w:rFonts w:ascii="Times New Roman" w:hAnsi="Times New Roman" w:cs="Times New Roman"/>
          <w:b/>
        </w:rPr>
        <w:t>2.2 Materials</w:t>
      </w:r>
    </w:p>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 xml:space="preserve">The </w:t>
      </w:r>
      <w:r w:rsidRPr="00C614B6">
        <w:rPr>
          <w:rFonts w:ascii="Times New Roman" w:hAnsi="Times New Roman" w:cs="Times New Roman"/>
        </w:rPr>
        <w:t xml:space="preserve">seven item </w:t>
      </w:r>
      <w:r w:rsidRPr="00BD4E37">
        <w:rPr>
          <w:rFonts w:ascii="Times New Roman" w:hAnsi="Times New Roman" w:cs="Times New Roman"/>
        </w:rPr>
        <w:t>Personal Wellbeing Index (PWI; International Wellbeing Group, 2013) was used to measure SWB</w:t>
      </w:r>
      <w:r>
        <w:rPr>
          <w:rFonts w:ascii="Times New Roman" w:hAnsi="Times New Roman" w:cs="Times New Roman"/>
        </w:rPr>
        <w:t xml:space="preserve"> (see A</w:t>
      </w:r>
      <w:r w:rsidRPr="00BD4E37">
        <w:rPr>
          <w:rFonts w:ascii="Times New Roman" w:hAnsi="Times New Roman" w:cs="Times New Roman"/>
        </w:rPr>
        <w:t xml:space="preserve">ppendix C). Participants in the general-specific condition completed the questionnaire as per its standard administration. For the specific-general condition, the GLS item was moved to follow the specific domain items. </w:t>
      </w:r>
    </w:p>
    <w:p w:rsidR="005430A2" w:rsidRPr="00BD4E37" w:rsidRDefault="005430A2" w:rsidP="005430A2">
      <w:pPr>
        <w:spacing w:before="240" w:line="360" w:lineRule="auto"/>
        <w:rPr>
          <w:rFonts w:ascii="Times New Roman" w:hAnsi="Times New Roman" w:cs="Times New Roman"/>
        </w:rPr>
      </w:pPr>
      <w:r w:rsidRPr="00BD4E37">
        <w:rPr>
          <w:rFonts w:ascii="Times New Roman" w:hAnsi="Times New Roman" w:cs="Times New Roman"/>
        </w:rPr>
        <w:tab/>
        <w:t>A demographic data page that asked for information about gender, age, household income and work status was also included.</w:t>
      </w:r>
    </w:p>
    <w:p w:rsidR="005430A2" w:rsidRPr="00BD4E37" w:rsidRDefault="005430A2" w:rsidP="005430A2">
      <w:pPr>
        <w:spacing w:before="240" w:line="360" w:lineRule="auto"/>
        <w:rPr>
          <w:rFonts w:ascii="Times New Roman" w:hAnsi="Times New Roman" w:cs="Times New Roman"/>
          <w:b/>
        </w:rPr>
      </w:pPr>
      <w:r w:rsidRPr="00BD4E37">
        <w:rPr>
          <w:rFonts w:ascii="Times New Roman" w:hAnsi="Times New Roman" w:cs="Times New Roman"/>
          <w:b/>
        </w:rPr>
        <w:t>2.3 Procedure</w:t>
      </w:r>
    </w:p>
    <w:p w:rsidR="005430A2" w:rsidRPr="00BD4E37" w:rsidRDefault="005430A2" w:rsidP="005430A2">
      <w:pPr>
        <w:spacing w:before="240" w:line="360" w:lineRule="auto"/>
        <w:ind w:firstLine="720"/>
        <w:rPr>
          <w:rFonts w:ascii="Times New Roman" w:hAnsi="Times New Roman" w:cs="Times New Roman"/>
          <w:color w:val="FF0000"/>
        </w:rPr>
      </w:pPr>
      <w:r w:rsidRPr="00BD4E37">
        <w:rPr>
          <w:rFonts w:ascii="Times New Roman" w:hAnsi="Times New Roman" w:cs="Times New Roman"/>
        </w:rPr>
        <w:t>Ethics approval was obtained from Deakin University Human Research Ethics Committee (see Appendix A). Following approval, participants were recruited through advertisements on social media networks (e.g. Facebook and Linkedin). All participants completed an online questionnaire. Participation was voluntary, with responses remaining anonymous and no incentives offered. The exclusion criteria was that participants needed to be at least eighteen years of age and living in Australia. Participants were given a plain language statement (see Appendix B) and clicked to continue which implied their consent. Participants were given details on how to contact the researchers if they were interested in the findings or had any concerns.</w:t>
      </w:r>
    </w:p>
    <w:p w:rsidR="005430A2" w:rsidRPr="001F416B" w:rsidRDefault="005430A2" w:rsidP="005430A2">
      <w:pPr>
        <w:jc w:val="center"/>
        <w:rPr>
          <w:rFonts w:ascii="Times New Roman" w:hAnsi="Times New Roman" w:cs="Times New Roman"/>
        </w:rPr>
      </w:pPr>
      <w:r w:rsidRPr="00BD4E37">
        <w:rPr>
          <w:rFonts w:ascii="Times New Roman" w:hAnsi="Times New Roman" w:cs="Times New Roman"/>
          <w:b/>
        </w:rPr>
        <w:t>3. Results</w:t>
      </w:r>
    </w:p>
    <w:p w:rsidR="005430A2" w:rsidRPr="00BD4E37" w:rsidRDefault="005430A2" w:rsidP="005430A2">
      <w:pPr>
        <w:spacing w:before="240" w:line="360" w:lineRule="auto"/>
        <w:rPr>
          <w:rFonts w:ascii="Times New Roman" w:hAnsi="Times New Roman" w:cs="Times New Roman"/>
          <w:b/>
        </w:rPr>
      </w:pPr>
      <w:r w:rsidRPr="00BD4E37">
        <w:rPr>
          <w:rFonts w:ascii="Times New Roman" w:hAnsi="Times New Roman" w:cs="Times New Roman"/>
          <w:b/>
        </w:rPr>
        <w:t>3.1 Data Cleaning</w:t>
      </w:r>
      <w:r>
        <w:rPr>
          <w:rFonts w:ascii="Times New Roman" w:hAnsi="Times New Roman" w:cs="Times New Roman"/>
          <w:b/>
        </w:rPr>
        <w:t xml:space="preserve"> and Preparation </w:t>
      </w:r>
    </w:p>
    <w:p w:rsidR="005430A2" w:rsidRPr="00BD4E37" w:rsidRDefault="005430A2" w:rsidP="005430A2">
      <w:pPr>
        <w:spacing w:before="240" w:line="360" w:lineRule="auto"/>
        <w:rPr>
          <w:rFonts w:ascii="Times New Roman" w:hAnsi="Times New Roman" w:cs="Times New Roman"/>
        </w:rPr>
      </w:pPr>
      <w:r w:rsidRPr="00BD4E37">
        <w:rPr>
          <w:rFonts w:ascii="Times New Roman" w:hAnsi="Times New Roman" w:cs="Times New Roman"/>
        </w:rPr>
        <w:tab/>
        <w:t xml:space="preserve">Data were initially screened </w:t>
      </w:r>
      <w:r>
        <w:rPr>
          <w:rFonts w:ascii="Times New Roman" w:hAnsi="Times New Roman" w:cs="Times New Roman"/>
        </w:rPr>
        <w:t xml:space="preserve">and subsequently analysed </w:t>
      </w:r>
      <w:r w:rsidRPr="00BD4E37">
        <w:rPr>
          <w:rFonts w:ascii="Times New Roman" w:hAnsi="Times New Roman" w:cs="Times New Roman"/>
        </w:rPr>
        <w:t>using SPSS Version 22 (</w:t>
      </w:r>
      <w:r>
        <w:rPr>
          <w:rFonts w:ascii="Times New Roman" w:hAnsi="Times New Roman" w:cs="Times New Roman"/>
        </w:rPr>
        <w:t>IBM Corp.,</w:t>
      </w:r>
      <w:r w:rsidRPr="00BD4E37">
        <w:rPr>
          <w:rFonts w:ascii="Times New Roman" w:hAnsi="Times New Roman" w:cs="Times New Roman"/>
        </w:rPr>
        <w:t xml:space="preserve"> 2013).</w:t>
      </w:r>
    </w:p>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Data were cleaned separately for each condition. In both conditions, cases that did not complete the questionnaire and participants who did not record their age were removed. Univariate outliers were determined as cases which exceeded 3 standard deviations (z-scores) from the mean. An iterative procedure was used to remove outliers until none remained. Three univariate outliers were removed in the specific-general condition, and four univariate outliers were deleted in the general-specific condition. These cases appeared to represent individuals who were randomly choosing responses and not properly responding to the questions, hence their deletion. Two cases in the general-specific condition were removed as they reported maximum scores across all domains, following recommendation from the PWI manual that this pattern reflects an acquiescent response bias (International Wellbeing Group, 2013).</w:t>
      </w:r>
    </w:p>
    <w:p w:rsidR="005430A2" w:rsidRPr="00BD4E37" w:rsidRDefault="005430A2" w:rsidP="005430A2">
      <w:pPr>
        <w:spacing w:before="240" w:line="360" w:lineRule="auto"/>
        <w:rPr>
          <w:rFonts w:ascii="Times New Roman" w:hAnsi="Times New Roman" w:cs="Times New Roman"/>
          <w:b/>
        </w:rPr>
      </w:pPr>
      <w:r w:rsidRPr="00BD4E37">
        <w:rPr>
          <w:rFonts w:ascii="Times New Roman" w:hAnsi="Times New Roman" w:cs="Times New Roman"/>
        </w:rPr>
        <w:tab/>
      </w:r>
      <w:r w:rsidRPr="00BD4E37">
        <w:rPr>
          <w:rFonts w:ascii="Times New Roman" w:hAnsi="Times New Roman" w:cs="Times New Roman"/>
          <w:b/>
        </w:rPr>
        <w:t>3.1.1 Assessing Normality</w:t>
      </w:r>
    </w:p>
    <w:p w:rsidR="005430A2" w:rsidRPr="00BD4E37" w:rsidRDefault="005430A2" w:rsidP="005430A2">
      <w:pPr>
        <w:spacing w:before="240" w:line="360" w:lineRule="auto"/>
        <w:rPr>
          <w:rFonts w:ascii="Times New Roman" w:hAnsi="Times New Roman" w:cs="Times New Roman"/>
        </w:rPr>
      </w:pPr>
      <w:r w:rsidRPr="00BD4E37">
        <w:rPr>
          <w:rFonts w:ascii="Times New Roman" w:hAnsi="Times New Roman" w:cs="Times New Roman"/>
        </w:rPr>
        <w:tab/>
        <w:t xml:space="preserve">The Kolmogorov-Smirnov and Shapiro-Wilk tests for normality revealed that scores on the PWI were significantly non-normal, with significant negative skewness. Since scores on the PWI are anticipated to be negatively skewed and it is acknowledged that scores for SWB generally fall in the upper positive region of a scale, no transformation was applied. </w:t>
      </w:r>
    </w:p>
    <w:p w:rsidR="005430A2" w:rsidRPr="00BD4E37" w:rsidRDefault="005430A2" w:rsidP="005430A2">
      <w:pPr>
        <w:pStyle w:val="ecxmsonormal"/>
        <w:spacing w:before="240" w:beforeAutospacing="0" w:line="360" w:lineRule="auto"/>
        <w:rPr>
          <w:b/>
        </w:rPr>
      </w:pPr>
      <w:r w:rsidRPr="00BD4E37">
        <w:rPr>
          <w:b/>
        </w:rPr>
        <w:t xml:space="preserve"> </w:t>
      </w:r>
      <w:r w:rsidRPr="00BD4E37">
        <w:rPr>
          <w:b/>
        </w:rPr>
        <w:tab/>
        <w:t>3.1.2 Conversion of Raw Scores</w:t>
      </w:r>
    </w:p>
    <w:p w:rsidR="005430A2" w:rsidRDefault="005430A2" w:rsidP="005430A2">
      <w:pPr>
        <w:pStyle w:val="ecxmsonormal"/>
        <w:spacing w:before="240" w:beforeAutospacing="0" w:line="360" w:lineRule="auto"/>
        <w:ind w:firstLine="720"/>
      </w:pPr>
      <w:r w:rsidRPr="00BD4E37">
        <w:t>The raw scores from the PWI were projected onto a 0-100 point scale for comparison purposes and simple interpretation. The seven domain scores were summed and averaged to give a total PWI score, representing their level of SWB (International Wellbeing Group, 2013).</w:t>
      </w:r>
    </w:p>
    <w:p w:rsidR="005430A2" w:rsidRPr="00BD4E37" w:rsidRDefault="005430A2" w:rsidP="005430A2">
      <w:pPr>
        <w:spacing w:before="240" w:line="360" w:lineRule="auto"/>
        <w:rPr>
          <w:rFonts w:ascii="Times New Roman" w:hAnsi="Times New Roman" w:cs="Times New Roman"/>
          <w:b/>
        </w:rPr>
      </w:pPr>
      <w:r w:rsidRPr="00BD4E37">
        <w:rPr>
          <w:rFonts w:ascii="Times New Roman" w:hAnsi="Times New Roman" w:cs="Times New Roman"/>
          <w:b/>
        </w:rPr>
        <w:t>3.2 Demographic Statistics</w:t>
      </w:r>
    </w:p>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Table 1 presents the demographic data for each condition for comparison purposes.</w:t>
      </w: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Pr="00BD4E37" w:rsidRDefault="005430A2" w:rsidP="005430A2">
      <w:pPr>
        <w:spacing w:line="360" w:lineRule="auto"/>
        <w:rPr>
          <w:rFonts w:ascii="Times New Roman" w:hAnsi="Times New Roman" w:cs="Times New Roman"/>
        </w:rPr>
      </w:pPr>
      <w:r w:rsidRPr="00BD4E37">
        <w:rPr>
          <w:rFonts w:ascii="Times New Roman" w:hAnsi="Times New Roman" w:cs="Times New Roman"/>
        </w:rPr>
        <w:t>Table 1</w:t>
      </w:r>
    </w:p>
    <w:p w:rsidR="005430A2" w:rsidRPr="00BD4E37" w:rsidRDefault="005430A2" w:rsidP="005430A2">
      <w:pPr>
        <w:spacing w:line="360" w:lineRule="auto"/>
        <w:rPr>
          <w:rFonts w:ascii="Times New Roman" w:hAnsi="Times New Roman" w:cs="Times New Roman"/>
          <w:i/>
        </w:rPr>
      </w:pPr>
      <w:r w:rsidRPr="00BD4E37">
        <w:rPr>
          <w:rFonts w:ascii="Times New Roman" w:hAnsi="Times New Roman" w:cs="Times New Roman"/>
          <w:i/>
        </w:rPr>
        <w:t>Demographic information for each condition</w:t>
      </w:r>
    </w:p>
    <w:tbl>
      <w:tblPr>
        <w:tblW w:w="0" w:type="auto"/>
        <w:tblLayout w:type="fixed"/>
        <w:tblLook w:val="04A0" w:firstRow="1" w:lastRow="0" w:firstColumn="1" w:lastColumn="0" w:noHBand="0" w:noVBand="1"/>
      </w:tblPr>
      <w:tblGrid>
        <w:gridCol w:w="1701"/>
        <w:gridCol w:w="2410"/>
        <w:gridCol w:w="1169"/>
        <w:gridCol w:w="674"/>
        <w:gridCol w:w="495"/>
        <w:gridCol w:w="1169"/>
        <w:gridCol w:w="1169"/>
      </w:tblGrid>
      <w:tr w:rsidR="005430A2" w:rsidRPr="00BD4E37">
        <w:tc>
          <w:tcPr>
            <w:tcW w:w="1701" w:type="dxa"/>
            <w:tcBorders>
              <w:top w:val="single" w:sz="4" w:space="0" w:color="auto"/>
            </w:tcBorders>
          </w:tcPr>
          <w:p w:rsidR="005430A2" w:rsidRPr="00BD4E37" w:rsidRDefault="005430A2" w:rsidP="000A66D4">
            <w:pPr>
              <w:spacing w:line="360" w:lineRule="auto"/>
              <w:rPr>
                <w:rFonts w:ascii="Times New Roman" w:hAnsi="Times New Roman" w:cs="Times New Roman"/>
              </w:rPr>
            </w:pPr>
          </w:p>
        </w:tc>
        <w:tc>
          <w:tcPr>
            <w:tcW w:w="2410" w:type="dxa"/>
            <w:tcBorders>
              <w:top w:val="single" w:sz="4" w:space="0" w:color="auto"/>
            </w:tcBorders>
          </w:tcPr>
          <w:p w:rsidR="005430A2" w:rsidRPr="00BD4E37" w:rsidRDefault="005430A2" w:rsidP="000A66D4">
            <w:pPr>
              <w:spacing w:line="360" w:lineRule="auto"/>
              <w:rPr>
                <w:rFonts w:ascii="Times New Roman" w:hAnsi="Times New Roman" w:cs="Times New Roman"/>
              </w:rPr>
            </w:pPr>
          </w:p>
        </w:tc>
        <w:tc>
          <w:tcPr>
            <w:tcW w:w="1843" w:type="dxa"/>
            <w:gridSpan w:val="2"/>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General-Specific</w:t>
            </w:r>
          </w:p>
        </w:tc>
        <w:tc>
          <w:tcPr>
            <w:tcW w:w="2833" w:type="dxa"/>
            <w:gridSpan w:val="3"/>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Specific-General</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p>
        </w:tc>
        <w:tc>
          <w:tcPr>
            <w:tcW w:w="1843"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w:t>
            </w:r>
            <w:r w:rsidRPr="00BD4E37">
              <w:rPr>
                <w:rFonts w:ascii="Times New Roman" w:hAnsi="Times New Roman" w:cs="Times New Roman"/>
                <w:i/>
              </w:rPr>
              <w:t>n</w:t>
            </w:r>
            <w:r w:rsidRPr="00BD4E37">
              <w:rPr>
                <w:rFonts w:ascii="Times New Roman" w:hAnsi="Times New Roman" w:cs="Times New Roman"/>
              </w:rPr>
              <w:t>=337)</w:t>
            </w:r>
          </w:p>
        </w:tc>
        <w:tc>
          <w:tcPr>
            <w:tcW w:w="2833" w:type="dxa"/>
            <w:gridSpan w:val="3"/>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w:t>
            </w:r>
            <w:r w:rsidRPr="00BD4E37">
              <w:rPr>
                <w:rFonts w:ascii="Times New Roman" w:hAnsi="Times New Roman" w:cs="Times New Roman"/>
                <w:i/>
              </w:rPr>
              <w:t>n</w:t>
            </w:r>
            <w:r w:rsidRPr="00BD4E37">
              <w:rPr>
                <w:rFonts w:ascii="Times New Roman" w:hAnsi="Times New Roman" w:cs="Times New Roman"/>
              </w:rPr>
              <w:t>=316)</w:t>
            </w:r>
          </w:p>
        </w:tc>
      </w:tr>
      <w:tr w:rsidR="005430A2" w:rsidRPr="00BD4E37">
        <w:tc>
          <w:tcPr>
            <w:tcW w:w="1701" w:type="dxa"/>
            <w:tcBorders>
              <w:bottom w:val="single" w:sz="4" w:space="0" w:color="auto"/>
            </w:tcBorders>
          </w:tcPr>
          <w:p w:rsidR="005430A2" w:rsidRPr="00BD4E37" w:rsidRDefault="005430A2" w:rsidP="000A66D4">
            <w:pPr>
              <w:spacing w:line="360" w:lineRule="auto"/>
              <w:rPr>
                <w:rFonts w:ascii="Times New Roman" w:hAnsi="Times New Roman" w:cs="Times New Roman"/>
              </w:rPr>
            </w:pPr>
          </w:p>
        </w:tc>
        <w:tc>
          <w:tcPr>
            <w:tcW w:w="2410" w:type="dxa"/>
            <w:tcBorders>
              <w:bottom w:val="single" w:sz="4" w:space="0" w:color="auto"/>
            </w:tcBorders>
          </w:tcPr>
          <w:p w:rsidR="005430A2" w:rsidRPr="00BD4E37" w:rsidRDefault="005430A2" w:rsidP="000A66D4">
            <w:pPr>
              <w:spacing w:line="360" w:lineRule="auto"/>
              <w:rPr>
                <w:rFonts w:ascii="Times New Roman" w:hAnsi="Times New Roman" w:cs="Times New Roman"/>
              </w:rPr>
            </w:pPr>
          </w:p>
        </w:tc>
        <w:tc>
          <w:tcPr>
            <w:tcW w:w="1169"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N</w:t>
            </w:r>
          </w:p>
        </w:tc>
        <w:tc>
          <w:tcPr>
            <w:tcW w:w="1169" w:type="dxa"/>
            <w:gridSpan w:val="2"/>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w:t>
            </w:r>
          </w:p>
        </w:tc>
        <w:tc>
          <w:tcPr>
            <w:tcW w:w="1169"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N</w:t>
            </w:r>
          </w:p>
        </w:tc>
        <w:tc>
          <w:tcPr>
            <w:tcW w:w="1169"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w:t>
            </w:r>
          </w:p>
        </w:tc>
      </w:tr>
      <w:tr w:rsidR="005430A2" w:rsidRPr="00BD4E37">
        <w:tc>
          <w:tcPr>
            <w:tcW w:w="1701" w:type="dxa"/>
            <w:tcBorders>
              <w:top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Gender</w:t>
            </w:r>
          </w:p>
        </w:tc>
        <w:tc>
          <w:tcPr>
            <w:tcW w:w="2410" w:type="dxa"/>
            <w:tcBorders>
              <w:top w:val="single" w:sz="4" w:space="0" w:color="auto"/>
            </w:tcBorders>
          </w:tcPr>
          <w:p w:rsidR="005430A2" w:rsidRPr="00BD4E37" w:rsidRDefault="005430A2" w:rsidP="000A66D4">
            <w:pPr>
              <w:spacing w:line="360" w:lineRule="auto"/>
              <w:rPr>
                <w:rFonts w:ascii="Times New Roman" w:hAnsi="Times New Roman" w:cs="Times New Roman"/>
              </w:rPr>
            </w:pPr>
          </w:p>
        </w:tc>
        <w:tc>
          <w:tcPr>
            <w:tcW w:w="1169"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p>
        </w:tc>
        <w:tc>
          <w:tcPr>
            <w:tcW w:w="1169" w:type="dxa"/>
            <w:gridSpan w:val="2"/>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p>
        </w:tc>
        <w:tc>
          <w:tcPr>
            <w:tcW w:w="1169"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p>
        </w:tc>
        <w:tc>
          <w:tcPr>
            <w:tcW w:w="1169"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Male</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102</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30.3</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57</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18.0</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Female</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232</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68.8</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259</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82.0</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Prefer not to answer</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0.9</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Age (mean)</w:t>
            </w:r>
          </w:p>
        </w:tc>
        <w:tc>
          <w:tcPr>
            <w:tcW w:w="2410" w:type="dxa"/>
          </w:tcPr>
          <w:p w:rsidR="005430A2" w:rsidRPr="00BD4E37" w:rsidRDefault="005430A2" w:rsidP="000A66D4">
            <w:pPr>
              <w:spacing w:line="360" w:lineRule="auto"/>
              <w:rPr>
                <w:rFonts w:ascii="Times New Roman" w:hAnsi="Times New Roman" w:cs="Times New Roman"/>
              </w:rPr>
            </w:pPr>
          </w:p>
        </w:tc>
        <w:tc>
          <w:tcPr>
            <w:tcW w:w="2338" w:type="dxa"/>
            <w:gridSpan w:val="3"/>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34.06 (</w:t>
            </w:r>
            <w:r w:rsidRPr="00BD4E37">
              <w:rPr>
                <w:rFonts w:ascii="Times New Roman" w:hAnsi="Times New Roman" w:cs="Times New Roman"/>
                <w:i/>
              </w:rPr>
              <w:t>SD</w:t>
            </w:r>
            <w:r w:rsidRPr="00BD4E37">
              <w:rPr>
                <w:rFonts w:ascii="Times New Roman" w:hAnsi="Times New Roman" w:cs="Times New Roman"/>
              </w:rPr>
              <w:t>=15.11)</w:t>
            </w:r>
          </w:p>
        </w:tc>
        <w:tc>
          <w:tcPr>
            <w:tcW w:w="2338"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27.21 (</w:t>
            </w:r>
            <w:r w:rsidRPr="00BD4E37">
              <w:rPr>
                <w:rFonts w:ascii="Times New Roman" w:hAnsi="Times New Roman" w:cs="Times New Roman"/>
                <w:i/>
              </w:rPr>
              <w:t>SD</w:t>
            </w:r>
            <w:r w:rsidRPr="00BD4E37">
              <w:rPr>
                <w:rFonts w:ascii="Times New Roman" w:hAnsi="Times New Roman" w:cs="Times New Roman"/>
              </w:rPr>
              <w:t>=10.49)</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Marital Status</w:t>
            </w:r>
          </w:p>
        </w:tc>
        <w:tc>
          <w:tcPr>
            <w:tcW w:w="2410" w:type="dxa"/>
          </w:tcPr>
          <w:p w:rsidR="005430A2" w:rsidRPr="00BD4E37" w:rsidRDefault="005430A2" w:rsidP="000A66D4">
            <w:pPr>
              <w:spacing w:line="360" w:lineRule="auto"/>
              <w:rPr>
                <w:rFonts w:ascii="Times New Roman" w:hAnsi="Times New Roman" w:cs="Times New Roman"/>
              </w:rPr>
            </w:pPr>
          </w:p>
        </w:tc>
        <w:tc>
          <w:tcPr>
            <w:tcW w:w="1169" w:type="dxa"/>
          </w:tcPr>
          <w:p w:rsidR="005430A2" w:rsidRPr="00BD4E37" w:rsidRDefault="005430A2" w:rsidP="000A66D4">
            <w:pPr>
              <w:spacing w:line="360" w:lineRule="auto"/>
              <w:jc w:val="center"/>
              <w:rPr>
                <w:rFonts w:ascii="Times New Roman" w:hAnsi="Times New Roman" w:cs="Times New Roman"/>
              </w:rPr>
            </w:pPr>
          </w:p>
        </w:tc>
        <w:tc>
          <w:tcPr>
            <w:tcW w:w="1169" w:type="dxa"/>
            <w:gridSpan w:val="2"/>
          </w:tcPr>
          <w:p w:rsidR="005430A2" w:rsidRPr="00BD4E37" w:rsidRDefault="005430A2" w:rsidP="000A66D4">
            <w:pPr>
              <w:spacing w:line="360" w:lineRule="auto"/>
              <w:jc w:val="center"/>
              <w:rPr>
                <w:rFonts w:ascii="Times New Roman" w:hAnsi="Times New Roman" w:cs="Times New Roman"/>
              </w:rPr>
            </w:pPr>
          </w:p>
        </w:tc>
        <w:tc>
          <w:tcPr>
            <w:tcW w:w="1169" w:type="dxa"/>
          </w:tcPr>
          <w:p w:rsidR="005430A2" w:rsidRPr="00BD4E37" w:rsidRDefault="005430A2" w:rsidP="000A66D4">
            <w:pPr>
              <w:spacing w:line="360" w:lineRule="auto"/>
              <w:jc w:val="center"/>
              <w:rPr>
                <w:rFonts w:ascii="Times New Roman" w:hAnsi="Times New Roman" w:cs="Times New Roman"/>
              </w:rPr>
            </w:pPr>
          </w:p>
        </w:tc>
        <w:tc>
          <w:tcPr>
            <w:tcW w:w="1169" w:type="dxa"/>
          </w:tcPr>
          <w:p w:rsidR="005430A2" w:rsidRPr="00BD4E37" w:rsidRDefault="005430A2" w:rsidP="000A66D4">
            <w:pPr>
              <w:spacing w:line="360" w:lineRule="auto"/>
              <w:jc w:val="center"/>
              <w:rPr>
                <w:rFonts w:ascii="Times New Roman" w:hAnsi="Times New Roman" w:cs="Times New Roman"/>
              </w:rPr>
            </w:pP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Never Married</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157</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46.6</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197</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62.3</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Defacto/Living together</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55</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16.3</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50</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15.8</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Married</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110</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32.6</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47</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14.9</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Separated</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1.2</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10</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3.2</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Divorced</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1.8</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11</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3.5</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Widowed</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1.2</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0.3</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Work Status</w:t>
            </w:r>
          </w:p>
        </w:tc>
        <w:tc>
          <w:tcPr>
            <w:tcW w:w="2410" w:type="dxa"/>
          </w:tcPr>
          <w:p w:rsidR="005430A2" w:rsidRPr="00BD4E37" w:rsidRDefault="005430A2" w:rsidP="000A66D4">
            <w:pPr>
              <w:spacing w:line="360" w:lineRule="auto"/>
              <w:rPr>
                <w:rFonts w:ascii="Times New Roman" w:hAnsi="Times New Roman" w:cs="Times New Roman"/>
              </w:rPr>
            </w:pPr>
          </w:p>
        </w:tc>
        <w:tc>
          <w:tcPr>
            <w:tcW w:w="1169" w:type="dxa"/>
          </w:tcPr>
          <w:p w:rsidR="005430A2" w:rsidRPr="00BD4E37" w:rsidRDefault="005430A2" w:rsidP="000A66D4">
            <w:pPr>
              <w:spacing w:line="360" w:lineRule="auto"/>
              <w:jc w:val="center"/>
              <w:rPr>
                <w:rFonts w:ascii="Times New Roman" w:hAnsi="Times New Roman" w:cs="Times New Roman"/>
              </w:rPr>
            </w:pPr>
          </w:p>
        </w:tc>
        <w:tc>
          <w:tcPr>
            <w:tcW w:w="1169" w:type="dxa"/>
            <w:gridSpan w:val="2"/>
          </w:tcPr>
          <w:p w:rsidR="005430A2" w:rsidRPr="00BD4E37" w:rsidRDefault="005430A2" w:rsidP="000A66D4">
            <w:pPr>
              <w:spacing w:line="360" w:lineRule="auto"/>
              <w:jc w:val="center"/>
              <w:rPr>
                <w:rFonts w:ascii="Times New Roman" w:hAnsi="Times New Roman" w:cs="Times New Roman"/>
              </w:rPr>
            </w:pPr>
          </w:p>
        </w:tc>
        <w:tc>
          <w:tcPr>
            <w:tcW w:w="1169" w:type="dxa"/>
          </w:tcPr>
          <w:p w:rsidR="005430A2" w:rsidRPr="00BD4E37" w:rsidRDefault="005430A2" w:rsidP="000A66D4">
            <w:pPr>
              <w:spacing w:line="360" w:lineRule="auto"/>
              <w:jc w:val="center"/>
              <w:rPr>
                <w:rFonts w:ascii="Times New Roman" w:hAnsi="Times New Roman" w:cs="Times New Roman"/>
              </w:rPr>
            </w:pPr>
          </w:p>
        </w:tc>
        <w:tc>
          <w:tcPr>
            <w:tcW w:w="1169" w:type="dxa"/>
          </w:tcPr>
          <w:p w:rsidR="005430A2" w:rsidRPr="00BD4E37" w:rsidRDefault="005430A2" w:rsidP="000A66D4">
            <w:pPr>
              <w:spacing w:line="360" w:lineRule="auto"/>
              <w:jc w:val="center"/>
              <w:rPr>
                <w:rFonts w:ascii="Times New Roman" w:hAnsi="Times New Roman" w:cs="Times New Roman"/>
              </w:rPr>
            </w:pP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Paid Employment</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125</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37.1</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47</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14.9</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Home or Family Care</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18</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5.3</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2.2</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Study</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93</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27.6</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184</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58.2</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Volunteer</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0.6</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0.3</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Retired</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15</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4.5</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None of these</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83</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24.6</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77</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24.4</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Household Income</w:t>
            </w:r>
          </w:p>
        </w:tc>
        <w:tc>
          <w:tcPr>
            <w:tcW w:w="2410" w:type="dxa"/>
          </w:tcPr>
          <w:p w:rsidR="005430A2" w:rsidRPr="00BD4E37" w:rsidRDefault="005430A2" w:rsidP="000A66D4">
            <w:pPr>
              <w:spacing w:line="360" w:lineRule="auto"/>
              <w:rPr>
                <w:rFonts w:ascii="Times New Roman" w:hAnsi="Times New Roman" w:cs="Times New Roman"/>
              </w:rPr>
            </w:pPr>
          </w:p>
        </w:tc>
        <w:tc>
          <w:tcPr>
            <w:tcW w:w="1169" w:type="dxa"/>
          </w:tcPr>
          <w:p w:rsidR="005430A2" w:rsidRPr="00BD4E37" w:rsidRDefault="005430A2" w:rsidP="000A66D4">
            <w:pPr>
              <w:spacing w:line="360" w:lineRule="auto"/>
              <w:jc w:val="center"/>
              <w:rPr>
                <w:rFonts w:ascii="Times New Roman" w:hAnsi="Times New Roman" w:cs="Times New Roman"/>
              </w:rPr>
            </w:pPr>
          </w:p>
        </w:tc>
        <w:tc>
          <w:tcPr>
            <w:tcW w:w="1169" w:type="dxa"/>
            <w:gridSpan w:val="2"/>
          </w:tcPr>
          <w:p w:rsidR="005430A2" w:rsidRPr="00BD4E37" w:rsidRDefault="005430A2" w:rsidP="000A66D4">
            <w:pPr>
              <w:spacing w:line="360" w:lineRule="auto"/>
              <w:jc w:val="center"/>
              <w:rPr>
                <w:rFonts w:ascii="Times New Roman" w:hAnsi="Times New Roman" w:cs="Times New Roman"/>
              </w:rPr>
            </w:pPr>
          </w:p>
        </w:tc>
        <w:tc>
          <w:tcPr>
            <w:tcW w:w="1169" w:type="dxa"/>
          </w:tcPr>
          <w:p w:rsidR="005430A2" w:rsidRPr="00BD4E37" w:rsidRDefault="005430A2" w:rsidP="000A66D4">
            <w:pPr>
              <w:spacing w:line="360" w:lineRule="auto"/>
              <w:jc w:val="center"/>
              <w:rPr>
                <w:rFonts w:ascii="Times New Roman" w:hAnsi="Times New Roman" w:cs="Times New Roman"/>
              </w:rPr>
            </w:pPr>
          </w:p>
        </w:tc>
        <w:tc>
          <w:tcPr>
            <w:tcW w:w="1169" w:type="dxa"/>
          </w:tcPr>
          <w:p w:rsidR="005430A2" w:rsidRPr="00BD4E37" w:rsidRDefault="005430A2" w:rsidP="000A66D4">
            <w:pPr>
              <w:spacing w:line="360" w:lineRule="auto"/>
              <w:jc w:val="center"/>
              <w:rPr>
                <w:rFonts w:ascii="Times New Roman" w:hAnsi="Times New Roman" w:cs="Times New Roman"/>
              </w:rPr>
            </w:pP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Less than $60,000</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152</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45.1</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144</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45.6</w:t>
            </w:r>
          </w:p>
        </w:tc>
      </w:tr>
      <w:tr w:rsidR="005430A2" w:rsidRPr="00BD4E37">
        <w:tc>
          <w:tcPr>
            <w:tcW w:w="1701" w:type="dxa"/>
          </w:tcPr>
          <w:p w:rsidR="005430A2" w:rsidRPr="00BD4E37" w:rsidRDefault="005430A2" w:rsidP="000A66D4">
            <w:pPr>
              <w:spacing w:line="360" w:lineRule="auto"/>
              <w:rPr>
                <w:rFonts w:ascii="Times New Roman" w:hAnsi="Times New Roman" w:cs="Times New Roman"/>
              </w:rPr>
            </w:pPr>
          </w:p>
        </w:tc>
        <w:tc>
          <w:tcPr>
            <w:tcW w:w="2410"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$61,000 to $150,000</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128</w:t>
            </w:r>
          </w:p>
        </w:tc>
        <w:tc>
          <w:tcPr>
            <w:tcW w:w="1169"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38.0</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85</w:t>
            </w:r>
          </w:p>
        </w:tc>
        <w:tc>
          <w:tcPr>
            <w:tcW w:w="116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26.9</w:t>
            </w:r>
          </w:p>
        </w:tc>
      </w:tr>
      <w:tr w:rsidR="005430A2" w:rsidRPr="00BD4E37">
        <w:tc>
          <w:tcPr>
            <w:tcW w:w="1701" w:type="dxa"/>
            <w:tcBorders>
              <w:bottom w:val="single" w:sz="4" w:space="0" w:color="auto"/>
            </w:tcBorders>
          </w:tcPr>
          <w:p w:rsidR="005430A2" w:rsidRPr="00BD4E37" w:rsidRDefault="005430A2" w:rsidP="000A66D4">
            <w:pPr>
              <w:spacing w:line="360" w:lineRule="auto"/>
              <w:rPr>
                <w:rFonts w:ascii="Times New Roman" w:hAnsi="Times New Roman" w:cs="Times New Roman"/>
              </w:rPr>
            </w:pPr>
          </w:p>
        </w:tc>
        <w:tc>
          <w:tcPr>
            <w:tcW w:w="2410" w:type="dxa"/>
            <w:tcBorders>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$151,000 or more</w:t>
            </w:r>
          </w:p>
        </w:tc>
        <w:tc>
          <w:tcPr>
            <w:tcW w:w="1169"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42</w:t>
            </w:r>
          </w:p>
        </w:tc>
        <w:tc>
          <w:tcPr>
            <w:tcW w:w="1169" w:type="dxa"/>
            <w:gridSpan w:val="2"/>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12.5</w:t>
            </w:r>
          </w:p>
        </w:tc>
        <w:tc>
          <w:tcPr>
            <w:tcW w:w="1169"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43</w:t>
            </w:r>
          </w:p>
        </w:tc>
        <w:tc>
          <w:tcPr>
            <w:tcW w:w="1169"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13.6</w:t>
            </w:r>
          </w:p>
        </w:tc>
      </w:tr>
    </w:tbl>
    <w:p w:rsidR="005430A2" w:rsidRPr="00BD4E37" w:rsidRDefault="005430A2" w:rsidP="005430A2">
      <w:pPr>
        <w:spacing w:line="360" w:lineRule="auto"/>
        <w:rPr>
          <w:rFonts w:ascii="Times New Roman" w:hAnsi="Times New Roman" w:cs="Times New Roman"/>
        </w:rPr>
      </w:pPr>
    </w:p>
    <w:p w:rsidR="005430A2" w:rsidRPr="00BD4E37" w:rsidRDefault="005430A2" w:rsidP="005430A2">
      <w:pPr>
        <w:spacing w:before="240" w:line="360" w:lineRule="auto"/>
        <w:rPr>
          <w:rStyle w:val="st"/>
        </w:rPr>
      </w:pPr>
      <w:r w:rsidRPr="00BD4E37">
        <w:rPr>
          <w:rFonts w:ascii="Times New Roman" w:hAnsi="Times New Roman" w:cs="Times New Roman"/>
        </w:rPr>
        <w:tab/>
        <w:t xml:space="preserve">Chi-square analyses and t-tests were conducted to determine if there were any significant differences between the conditions on the basis of age, gender, household income and relationship status. A chi-square test revealed a significantly greater proportion of married individuals in the general-specific condition, </w:t>
      </w:r>
      <w:r w:rsidRPr="00BD4E37">
        <w:rPr>
          <w:rStyle w:val="st"/>
          <w:rFonts w:ascii="Times New Roman" w:eastAsiaTheme="minorHAnsi" w:hAnsi="Times New Roman" w:cs="Times New Roman"/>
        </w:rPr>
        <w:t xml:space="preserve">χ² (5, </w:t>
      </w:r>
      <w:r w:rsidRPr="00BD4E37">
        <w:rPr>
          <w:rStyle w:val="st"/>
          <w:rFonts w:ascii="Times New Roman" w:eastAsiaTheme="minorHAnsi" w:hAnsi="Times New Roman" w:cs="Times New Roman"/>
          <w:i/>
        </w:rPr>
        <w:t>n</w:t>
      </w:r>
      <w:r w:rsidRPr="00BD4E37">
        <w:rPr>
          <w:rStyle w:val="st"/>
          <w:rFonts w:ascii="Times New Roman" w:eastAsiaTheme="minorHAnsi" w:hAnsi="Times New Roman" w:cs="Times New Roman"/>
        </w:rPr>
        <w:t xml:space="preserve">=652) = 35.30, </w:t>
      </w:r>
      <w:r w:rsidRPr="00BD4E37">
        <w:rPr>
          <w:rStyle w:val="st"/>
          <w:rFonts w:ascii="Times New Roman" w:eastAsiaTheme="minorHAnsi" w:hAnsi="Times New Roman" w:cs="Times New Roman"/>
          <w:i/>
        </w:rPr>
        <w:t>p</w:t>
      </w:r>
      <w:r>
        <w:rPr>
          <w:rStyle w:val="st"/>
          <w:rFonts w:ascii="Times New Roman" w:eastAsiaTheme="minorHAnsi" w:hAnsi="Times New Roman" w:cs="Times New Roman"/>
        </w:rPr>
        <w:t>=</w:t>
      </w:r>
      <w:r w:rsidRPr="00BD4E37">
        <w:rPr>
          <w:rStyle w:val="st"/>
          <w:rFonts w:ascii="Times New Roman" w:eastAsiaTheme="minorHAnsi" w:hAnsi="Times New Roman" w:cs="Times New Roman"/>
        </w:rPr>
        <w:t>.000.</w:t>
      </w:r>
      <w:r w:rsidRPr="00BD4E37">
        <w:rPr>
          <w:rFonts w:ascii="Times New Roman" w:hAnsi="Times New Roman" w:cs="Times New Roman"/>
        </w:rPr>
        <w:t xml:space="preserve"> Another chi-square test revealed a significantly greater proportion of males in the general-specific condition, </w:t>
      </w:r>
      <w:r w:rsidRPr="00BD4E37">
        <w:rPr>
          <w:rStyle w:val="st"/>
          <w:rFonts w:ascii="Times New Roman" w:eastAsiaTheme="minorHAnsi" w:hAnsi="Times New Roman" w:cs="Times New Roman"/>
        </w:rPr>
        <w:t xml:space="preserve">χ² (2, </w:t>
      </w:r>
      <w:r w:rsidRPr="00BD4E37">
        <w:rPr>
          <w:rStyle w:val="st"/>
          <w:rFonts w:ascii="Times New Roman" w:eastAsiaTheme="minorHAnsi" w:hAnsi="Times New Roman" w:cs="Times New Roman"/>
          <w:i/>
        </w:rPr>
        <w:t>n</w:t>
      </w:r>
      <w:r w:rsidRPr="00BD4E37">
        <w:rPr>
          <w:rStyle w:val="st"/>
          <w:rFonts w:ascii="Times New Roman" w:eastAsiaTheme="minorHAnsi" w:hAnsi="Times New Roman" w:cs="Times New Roman"/>
        </w:rPr>
        <w:t xml:space="preserve">=653) = 16.56, </w:t>
      </w:r>
      <w:r w:rsidRPr="00BD4E37">
        <w:rPr>
          <w:rStyle w:val="st"/>
          <w:rFonts w:ascii="Times New Roman" w:eastAsiaTheme="minorHAnsi" w:hAnsi="Times New Roman" w:cs="Times New Roman"/>
          <w:i/>
        </w:rPr>
        <w:t>p</w:t>
      </w:r>
      <w:r>
        <w:rPr>
          <w:rStyle w:val="st"/>
          <w:rFonts w:ascii="Times New Roman" w:eastAsiaTheme="minorHAnsi" w:hAnsi="Times New Roman" w:cs="Times New Roman"/>
        </w:rPr>
        <w:t>=</w:t>
      </w:r>
      <w:r w:rsidRPr="00BD4E37">
        <w:rPr>
          <w:rStyle w:val="st"/>
          <w:rFonts w:ascii="Times New Roman" w:eastAsiaTheme="minorHAnsi" w:hAnsi="Times New Roman" w:cs="Times New Roman"/>
        </w:rPr>
        <w:t>.000.</w:t>
      </w:r>
      <w:r w:rsidRPr="00BD4E37">
        <w:rPr>
          <w:rFonts w:ascii="Times New Roman" w:hAnsi="Times New Roman" w:cs="Times New Roman"/>
        </w:rPr>
        <w:t xml:space="preserve"> However, there was no significant difference in the income levels of the two conditions</w:t>
      </w:r>
      <w:r w:rsidRPr="00BD4E37">
        <w:rPr>
          <w:rStyle w:val="st"/>
          <w:rFonts w:ascii="Times New Roman" w:eastAsiaTheme="minorHAnsi" w:hAnsi="Times New Roman" w:cs="Times New Roman"/>
        </w:rPr>
        <w:t>.</w:t>
      </w:r>
    </w:p>
    <w:p w:rsidR="005430A2" w:rsidRPr="00BD4E37" w:rsidRDefault="005430A2" w:rsidP="005430A2">
      <w:pPr>
        <w:spacing w:before="240" w:line="360" w:lineRule="auto"/>
        <w:ind w:firstLine="720"/>
        <w:rPr>
          <w:rFonts w:ascii="Times New Roman" w:hAnsi="Times New Roman" w:cs="Times New Roman"/>
          <w:bCs/>
        </w:rPr>
      </w:pPr>
      <w:r w:rsidRPr="00BD4E37">
        <w:rPr>
          <w:rStyle w:val="st"/>
          <w:rFonts w:ascii="Times New Roman" w:eastAsiaTheme="minorHAnsi" w:hAnsi="Times New Roman" w:cs="Times New Roman"/>
        </w:rPr>
        <w:t xml:space="preserve">An independent samples t-test was conducted to compare age differences across the two conditions. </w:t>
      </w:r>
      <w:r w:rsidRPr="00BD4E37">
        <w:rPr>
          <w:rFonts w:ascii="Times New Roman" w:hAnsi="Times New Roman" w:cs="Times New Roman"/>
          <w:bCs/>
        </w:rPr>
        <w:t>Given that equality of group variances assumption was violated for these data (</w:t>
      </w:r>
      <w:r w:rsidRPr="00BD4E37">
        <w:rPr>
          <w:rFonts w:ascii="Times New Roman" w:hAnsi="Times New Roman" w:cs="Times New Roman"/>
          <w:bCs/>
          <w:i/>
        </w:rPr>
        <w:t>F</w:t>
      </w:r>
      <w:r w:rsidRPr="00BD4E37">
        <w:rPr>
          <w:rFonts w:ascii="Times New Roman" w:hAnsi="Times New Roman" w:cs="Times New Roman"/>
          <w:bCs/>
        </w:rPr>
        <w:t xml:space="preserve">= 62.04, </w:t>
      </w:r>
      <w:r w:rsidRPr="00BD4E37">
        <w:rPr>
          <w:rFonts w:ascii="Times New Roman" w:hAnsi="Times New Roman" w:cs="Times New Roman"/>
          <w:bCs/>
          <w:i/>
        </w:rPr>
        <w:t>p</w:t>
      </w:r>
      <w:r w:rsidRPr="00BD4E37">
        <w:rPr>
          <w:rFonts w:ascii="Times New Roman" w:hAnsi="Times New Roman" w:cs="Times New Roman"/>
          <w:bCs/>
        </w:rPr>
        <w:t>&lt;.01), a more stringent criterion was applied for evaluating group differences. In this instance, the general-specific condition (</w:t>
      </w:r>
      <w:r w:rsidRPr="00BD4E37">
        <w:rPr>
          <w:rFonts w:ascii="Times New Roman" w:hAnsi="Times New Roman" w:cs="Times New Roman"/>
          <w:bCs/>
          <w:i/>
        </w:rPr>
        <w:t>M</w:t>
      </w:r>
      <w:r w:rsidRPr="00BD4E37">
        <w:rPr>
          <w:rFonts w:ascii="Times New Roman" w:hAnsi="Times New Roman" w:cs="Times New Roman"/>
          <w:bCs/>
        </w:rPr>
        <w:t xml:space="preserve">= 34.06, </w:t>
      </w:r>
      <w:r w:rsidRPr="00BD4E37">
        <w:rPr>
          <w:rFonts w:ascii="Times New Roman" w:hAnsi="Times New Roman" w:cs="Times New Roman"/>
          <w:bCs/>
          <w:i/>
        </w:rPr>
        <w:t>SD</w:t>
      </w:r>
      <w:r w:rsidRPr="00BD4E37">
        <w:rPr>
          <w:rFonts w:ascii="Times New Roman" w:hAnsi="Times New Roman" w:cs="Times New Roman"/>
          <w:bCs/>
        </w:rPr>
        <w:t>=15.11) was significantly older than the specific-general condition (</w:t>
      </w:r>
      <w:r w:rsidRPr="00BD4E37">
        <w:rPr>
          <w:rFonts w:ascii="Times New Roman" w:hAnsi="Times New Roman" w:cs="Times New Roman"/>
          <w:bCs/>
          <w:i/>
        </w:rPr>
        <w:t>M</w:t>
      </w:r>
      <w:r w:rsidRPr="00BD4E37">
        <w:rPr>
          <w:rFonts w:ascii="Times New Roman" w:hAnsi="Times New Roman" w:cs="Times New Roman"/>
          <w:bCs/>
        </w:rPr>
        <w:t xml:space="preserve">= 27.21, </w:t>
      </w:r>
      <w:r w:rsidRPr="00BD4E37">
        <w:rPr>
          <w:rFonts w:ascii="Times New Roman" w:hAnsi="Times New Roman" w:cs="Times New Roman"/>
          <w:bCs/>
          <w:i/>
        </w:rPr>
        <w:t>SD</w:t>
      </w:r>
      <w:r w:rsidRPr="00BD4E37">
        <w:rPr>
          <w:rFonts w:ascii="Times New Roman" w:hAnsi="Times New Roman" w:cs="Times New Roman"/>
          <w:bCs/>
        </w:rPr>
        <w:t xml:space="preserve">= 10.49); t (600.75) = 6.77, </w:t>
      </w:r>
      <w:r w:rsidRPr="00BD4E37">
        <w:rPr>
          <w:rFonts w:ascii="Times New Roman" w:hAnsi="Times New Roman" w:cs="Times New Roman"/>
          <w:bCs/>
          <w:i/>
        </w:rPr>
        <w:t>p</w:t>
      </w:r>
      <w:r w:rsidRPr="00BD4E37">
        <w:rPr>
          <w:rFonts w:ascii="Times New Roman" w:hAnsi="Times New Roman" w:cs="Times New Roman"/>
          <w:bCs/>
        </w:rPr>
        <w:t xml:space="preserve">&lt;.01, two-tailed. </w:t>
      </w:r>
    </w:p>
    <w:p w:rsidR="005430A2" w:rsidRPr="00BD4E37" w:rsidRDefault="005430A2" w:rsidP="005430A2">
      <w:pPr>
        <w:spacing w:before="240" w:line="360" w:lineRule="auto"/>
        <w:rPr>
          <w:rFonts w:ascii="Times New Roman" w:hAnsi="Times New Roman" w:cs="Times New Roman"/>
          <w:b/>
        </w:rPr>
      </w:pPr>
      <w:r w:rsidRPr="00BD4E37">
        <w:rPr>
          <w:rFonts w:ascii="Times New Roman" w:hAnsi="Times New Roman" w:cs="Times New Roman"/>
          <w:b/>
        </w:rPr>
        <w:t>3.3 Descriptive Statistics</w:t>
      </w:r>
    </w:p>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Table 2 below presents the means and standard deviations for each of the PWI items</w:t>
      </w:r>
      <w:r>
        <w:rPr>
          <w:rFonts w:ascii="Times New Roman" w:hAnsi="Times New Roman" w:cs="Times New Roman"/>
        </w:rPr>
        <w:t xml:space="preserve">, GLS and total PWI </w:t>
      </w:r>
      <w:r w:rsidRPr="00BD4E37">
        <w:rPr>
          <w:rFonts w:ascii="Times New Roman" w:hAnsi="Times New Roman" w:cs="Times New Roman"/>
        </w:rPr>
        <w:t xml:space="preserve">for each condition. </w:t>
      </w:r>
    </w:p>
    <w:p w:rsidR="005430A2" w:rsidRPr="00BD4E37" w:rsidRDefault="005430A2" w:rsidP="005430A2">
      <w:pPr>
        <w:spacing w:line="360" w:lineRule="auto"/>
        <w:rPr>
          <w:rFonts w:ascii="Times New Roman" w:hAnsi="Times New Roman" w:cs="Times New Roman"/>
        </w:rPr>
      </w:pPr>
      <w:r w:rsidRPr="00BD4E37">
        <w:rPr>
          <w:rFonts w:ascii="Times New Roman" w:hAnsi="Times New Roman" w:cs="Times New Roman"/>
        </w:rPr>
        <w:t>Table 2</w:t>
      </w:r>
    </w:p>
    <w:p w:rsidR="005430A2" w:rsidRPr="00BD4E37" w:rsidRDefault="005430A2" w:rsidP="005430A2">
      <w:pPr>
        <w:spacing w:line="360" w:lineRule="auto"/>
        <w:rPr>
          <w:rFonts w:ascii="Times New Roman" w:hAnsi="Times New Roman" w:cs="Times New Roman"/>
          <w:i/>
        </w:rPr>
      </w:pPr>
      <w:r w:rsidRPr="00BD4E37">
        <w:rPr>
          <w:rFonts w:ascii="Times New Roman" w:hAnsi="Times New Roman" w:cs="Times New Roman"/>
          <w:i/>
        </w:rPr>
        <w:t xml:space="preserve">Descriptive statistics of GLS and life domains </w:t>
      </w:r>
    </w:p>
    <w:tbl>
      <w:tblPr>
        <w:tblW w:w="0" w:type="auto"/>
        <w:jc w:val="center"/>
        <w:tblLayout w:type="fixed"/>
        <w:tblLook w:val="04A0" w:firstRow="1" w:lastRow="0" w:firstColumn="1" w:lastColumn="0" w:noHBand="0" w:noVBand="1"/>
      </w:tblPr>
      <w:tblGrid>
        <w:gridCol w:w="2268"/>
        <w:gridCol w:w="1084"/>
        <w:gridCol w:w="1043"/>
        <w:gridCol w:w="42"/>
        <w:gridCol w:w="1085"/>
        <w:gridCol w:w="1085"/>
        <w:gridCol w:w="56"/>
        <w:gridCol w:w="1029"/>
        <w:gridCol w:w="246"/>
        <w:gridCol w:w="839"/>
      </w:tblGrid>
      <w:tr w:rsidR="005430A2" w:rsidRPr="00BD4E37">
        <w:trPr>
          <w:jc w:val="center"/>
        </w:trPr>
        <w:tc>
          <w:tcPr>
            <w:tcW w:w="2268"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p>
        </w:tc>
        <w:tc>
          <w:tcPr>
            <w:tcW w:w="2127" w:type="dxa"/>
            <w:gridSpan w:val="2"/>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General-Specific</w:t>
            </w:r>
          </w:p>
        </w:tc>
        <w:tc>
          <w:tcPr>
            <w:tcW w:w="2268" w:type="dxa"/>
            <w:gridSpan w:val="4"/>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Specific-General</w:t>
            </w:r>
          </w:p>
        </w:tc>
        <w:tc>
          <w:tcPr>
            <w:tcW w:w="1275" w:type="dxa"/>
            <w:gridSpan w:val="2"/>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p>
        </w:tc>
        <w:tc>
          <w:tcPr>
            <w:tcW w:w="839"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p>
        </w:tc>
      </w:tr>
      <w:tr w:rsidR="005430A2" w:rsidRPr="00BD4E37">
        <w:trPr>
          <w:jc w:val="center"/>
        </w:trPr>
        <w:tc>
          <w:tcPr>
            <w:tcW w:w="2268" w:type="dxa"/>
          </w:tcPr>
          <w:p w:rsidR="005430A2" w:rsidRPr="00BD4E37" w:rsidRDefault="005430A2" w:rsidP="000A66D4">
            <w:pPr>
              <w:spacing w:line="360" w:lineRule="auto"/>
              <w:jc w:val="center"/>
              <w:rPr>
                <w:rFonts w:ascii="Times New Roman" w:hAnsi="Times New Roman" w:cs="Times New Roman"/>
              </w:rPr>
            </w:pPr>
          </w:p>
        </w:tc>
        <w:tc>
          <w:tcPr>
            <w:tcW w:w="2127"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w:t>
            </w:r>
            <w:r w:rsidRPr="00BD4E37">
              <w:rPr>
                <w:rFonts w:ascii="Times New Roman" w:hAnsi="Times New Roman" w:cs="Times New Roman"/>
                <w:i/>
              </w:rPr>
              <w:t>n</w:t>
            </w:r>
            <w:r w:rsidRPr="00BD4E37">
              <w:rPr>
                <w:rFonts w:ascii="Times New Roman" w:hAnsi="Times New Roman" w:cs="Times New Roman"/>
              </w:rPr>
              <w:t>=337)</w:t>
            </w:r>
          </w:p>
        </w:tc>
        <w:tc>
          <w:tcPr>
            <w:tcW w:w="2268" w:type="dxa"/>
            <w:gridSpan w:val="4"/>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w:t>
            </w:r>
            <w:r w:rsidRPr="00BD4E37">
              <w:rPr>
                <w:rFonts w:ascii="Times New Roman" w:hAnsi="Times New Roman" w:cs="Times New Roman"/>
                <w:i/>
              </w:rPr>
              <w:t>n</w:t>
            </w:r>
            <w:r w:rsidRPr="00BD4E37">
              <w:rPr>
                <w:rFonts w:ascii="Times New Roman" w:hAnsi="Times New Roman" w:cs="Times New Roman"/>
              </w:rPr>
              <w:t>=316)</w:t>
            </w:r>
          </w:p>
        </w:tc>
        <w:tc>
          <w:tcPr>
            <w:tcW w:w="1275" w:type="dxa"/>
            <w:gridSpan w:val="2"/>
          </w:tcPr>
          <w:p w:rsidR="005430A2" w:rsidRPr="00BD4E37" w:rsidRDefault="005430A2" w:rsidP="000A66D4">
            <w:pPr>
              <w:spacing w:line="360" w:lineRule="auto"/>
              <w:jc w:val="center"/>
              <w:rPr>
                <w:rFonts w:ascii="Times New Roman" w:hAnsi="Times New Roman" w:cs="Times New Roman"/>
              </w:rPr>
            </w:pPr>
          </w:p>
        </w:tc>
        <w:tc>
          <w:tcPr>
            <w:tcW w:w="839" w:type="dxa"/>
          </w:tcPr>
          <w:p w:rsidR="005430A2" w:rsidRPr="00BD4E37" w:rsidRDefault="005430A2" w:rsidP="000A66D4">
            <w:pPr>
              <w:spacing w:line="360" w:lineRule="auto"/>
              <w:jc w:val="center"/>
              <w:rPr>
                <w:rFonts w:ascii="Times New Roman" w:hAnsi="Times New Roman" w:cs="Times New Roman"/>
              </w:rPr>
            </w:pPr>
          </w:p>
        </w:tc>
      </w:tr>
      <w:tr w:rsidR="005430A2" w:rsidRPr="00BD4E37">
        <w:trPr>
          <w:jc w:val="center"/>
        </w:trPr>
        <w:tc>
          <w:tcPr>
            <w:tcW w:w="2268"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p>
        </w:tc>
        <w:tc>
          <w:tcPr>
            <w:tcW w:w="1084"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Mean</w:t>
            </w:r>
          </w:p>
        </w:tc>
        <w:tc>
          <w:tcPr>
            <w:tcW w:w="1085" w:type="dxa"/>
            <w:gridSpan w:val="2"/>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SD</w:t>
            </w:r>
          </w:p>
        </w:tc>
        <w:tc>
          <w:tcPr>
            <w:tcW w:w="1085"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Mean</w:t>
            </w:r>
          </w:p>
        </w:tc>
        <w:tc>
          <w:tcPr>
            <w:tcW w:w="1085"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SD</w:t>
            </w:r>
          </w:p>
        </w:tc>
        <w:tc>
          <w:tcPr>
            <w:tcW w:w="1085" w:type="dxa"/>
            <w:gridSpan w:val="2"/>
            <w:tcBorders>
              <w:bottom w:val="single" w:sz="4" w:space="0" w:color="auto"/>
            </w:tcBorders>
          </w:tcPr>
          <w:p w:rsidR="005430A2" w:rsidRPr="00BD4E37" w:rsidRDefault="005430A2" w:rsidP="000A66D4">
            <w:pPr>
              <w:spacing w:line="360" w:lineRule="auto"/>
              <w:jc w:val="center"/>
              <w:rPr>
                <w:rFonts w:ascii="Times New Roman" w:hAnsi="Times New Roman" w:cs="Times New Roman"/>
                <w:i/>
              </w:rPr>
            </w:pPr>
            <w:r w:rsidRPr="00BD4E37">
              <w:rPr>
                <w:rFonts w:ascii="Times New Roman" w:hAnsi="Times New Roman" w:cs="Times New Roman"/>
                <w:i/>
              </w:rPr>
              <w:t>t</w:t>
            </w:r>
          </w:p>
        </w:tc>
        <w:tc>
          <w:tcPr>
            <w:tcW w:w="1085" w:type="dxa"/>
            <w:gridSpan w:val="2"/>
            <w:tcBorders>
              <w:bottom w:val="single" w:sz="4" w:space="0" w:color="auto"/>
            </w:tcBorders>
          </w:tcPr>
          <w:p w:rsidR="005430A2" w:rsidRPr="00BD4E37" w:rsidRDefault="005430A2" w:rsidP="000A66D4">
            <w:pPr>
              <w:spacing w:line="360" w:lineRule="auto"/>
              <w:jc w:val="center"/>
              <w:rPr>
                <w:rFonts w:ascii="Times New Roman" w:hAnsi="Times New Roman" w:cs="Times New Roman"/>
                <w:i/>
              </w:rPr>
            </w:pPr>
            <w:r w:rsidRPr="00BD4E37">
              <w:rPr>
                <w:rFonts w:ascii="Times New Roman" w:hAnsi="Times New Roman" w:cs="Times New Roman"/>
                <w:i/>
              </w:rPr>
              <w:t>p</w:t>
            </w:r>
          </w:p>
        </w:tc>
      </w:tr>
      <w:tr w:rsidR="005430A2" w:rsidRPr="00BD4E37">
        <w:trPr>
          <w:jc w:val="center"/>
        </w:trPr>
        <w:tc>
          <w:tcPr>
            <w:tcW w:w="2268"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Standard of Living</w:t>
            </w:r>
          </w:p>
        </w:tc>
        <w:tc>
          <w:tcPr>
            <w:tcW w:w="1084"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79.20</w:t>
            </w:r>
          </w:p>
        </w:tc>
        <w:tc>
          <w:tcPr>
            <w:tcW w:w="1085" w:type="dxa"/>
            <w:gridSpan w:val="2"/>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16.54</w:t>
            </w:r>
          </w:p>
        </w:tc>
        <w:tc>
          <w:tcPr>
            <w:tcW w:w="1085"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74.46</w:t>
            </w:r>
          </w:p>
        </w:tc>
        <w:tc>
          <w:tcPr>
            <w:tcW w:w="1085"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18.41</w:t>
            </w:r>
          </w:p>
        </w:tc>
        <w:tc>
          <w:tcPr>
            <w:tcW w:w="1085" w:type="dxa"/>
            <w:gridSpan w:val="2"/>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-3.462</w:t>
            </w:r>
          </w:p>
        </w:tc>
        <w:tc>
          <w:tcPr>
            <w:tcW w:w="1085" w:type="dxa"/>
            <w:gridSpan w:val="2"/>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.001</w:t>
            </w:r>
          </w:p>
        </w:tc>
      </w:tr>
      <w:tr w:rsidR="005430A2" w:rsidRPr="00BD4E37">
        <w:trPr>
          <w:jc w:val="center"/>
        </w:trPr>
        <w:tc>
          <w:tcPr>
            <w:tcW w:w="22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Health</w:t>
            </w:r>
          </w:p>
        </w:tc>
        <w:tc>
          <w:tcPr>
            <w:tcW w:w="1084"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73.23</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18.29</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64.97</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21.92</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-5.215</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.000</w:t>
            </w:r>
          </w:p>
        </w:tc>
      </w:tr>
      <w:tr w:rsidR="005430A2" w:rsidRPr="00BD4E37">
        <w:trPr>
          <w:jc w:val="center"/>
        </w:trPr>
        <w:tc>
          <w:tcPr>
            <w:tcW w:w="22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Achieving</w:t>
            </w:r>
          </w:p>
        </w:tc>
        <w:tc>
          <w:tcPr>
            <w:tcW w:w="1084"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71.39</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17.38</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65.03</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20.68</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-4.241</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.000</w:t>
            </w:r>
          </w:p>
        </w:tc>
      </w:tr>
      <w:tr w:rsidR="005430A2" w:rsidRPr="00BD4E37">
        <w:trPr>
          <w:jc w:val="center"/>
        </w:trPr>
        <w:tc>
          <w:tcPr>
            <w:tcW w:w="22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Relationships</w:t>
            </w:r>
          </w:p>
        </w:tc>
        <w:tc>
          <w:tcPr>
            <w:tcW w:w="1084"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73.95</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20.05</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66.46</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21.91</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-4.549</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.000</w:t>
            </w:r>
          </w:p>
        </w:tc>
      </w:tr>
      <w:tr w:rsidR="005430A2" w:rsidRPr="00BD4E37">
        <w:trPr>
          <w:jc w:val="center"/>
        </w:trPr>
        <w:tc>
          <w:tcPr>
            <w:tcW w:w="22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Safety</w:t>
            </w:r>
          </w:p>
        </w:tc>
        <w:tc>
          <w:tcPr>
            <w:tcW w:w="1084"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82.61</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17.14</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78.35</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18.89</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-3.019</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.003</w:t>
            </w:r>
          </w:p>
        </w:tc>
      </w:tr>
      <w:tr w:rsidR="005430A2" w:rsidRPr="00BD4E37">
        <w:trPr>
          <w:jc w:val="center"/>
        </w:trPr>
        <w:tc>
          <w:tcPr>
            <w:tcW w:w="22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Community</w:t>
            </w:r>
          </w:p>
        </w:tc>
        <w:tc>
          <w:tcPr>
            <w:tcW w:w="1084"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71.72</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20.27</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61.58</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21.29</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-6.234</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.000</w:t>
            </w:r>
          </w:p>
        </w:tc>
      </w:tr>
      <w:tr w:rsidR="005430A2" w:rsidRPr="00BD4E37">
        <w:trPr>
          <w:jc w:val="center"/>
        </w:trPr>
        <w:tc>
          <w:tcPr>
            <w:tcW w:w="22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Future Security</w:t>
            </w:r>
          </w:p>
        </w:tc>
        <w:tc>
          <w:tcPr>
            <w:tcW w:w="1084"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68.52</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21.13</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57.66</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24.42</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-6.058</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.000</w:t>
            </w:r>
          </w:p>
        </w:tc>
      </w:tr>
      <w:tr w:rsidR="005430A2" w:rsidRPr="00BD4E37">
        <w:trPr>
          <w:jc w:val="center"/>
        </w:trPr>
        <w:tc>
          <w:tcPr>
            <w:tcW w:w="22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Life as a whole</w:t>
            </w:r>
          </w:p>
        </w:tc>
        <w:tc>
          <w:tcPr>
            <w:tcW w:w="1084"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72.40</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14.65</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70.57</w:t>
            </w:r>
          </w:p>
        </w:tc>
        <w:tc>
          <w:tcPr>
            <w:tcW w:w="1085"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18.85</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-1.393</w:t>
            </w:r>
          </w:p>
        </w:tc>
        <w:tc>
          <w:tcPr>
            <w:tcW w:w="1085" w:type="dxa"/>
            <w:gridSpan w:val="2"/>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.168</w:t>
            </w:r>
          </w:p>
        </w:tc>
      </w:tr>
      <w:tr w:rsidR="005430A2" w:rsidRPr="00BD4E37">
        <w:trPr>
          <w:jc w:val="center"/>
        </w:trPr>
        <w:tc>
          <w:tcPr>
            <w:tcW w:w="2268"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PWI</w:t>
            </w:r>
          </w:p>
        </w:tc>
        <w:tc>
          <w:tcPr>
            <w:tcW w:w="1084"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74.37</w:t>
            </w:r>
          </w:p>
        </w:tc>
        <w:tc>
          <w:tcPr>
            <w:tcW w:w="1085" w:type="dxa"/>
            <w:gridSpan w:val="2"/>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12.44</w:t>
            </w:r>
          </w:p>
        </w:tc>
        <w:tc>
          <w:tcPr>
            <w:tcW w:w="1085"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66.93</w:t>
            </w:r>
          </w:p>
        </w:tc>
        <w:tc>
          <w:tcPr>
            <w:tcW w:w="1085"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10.49</w:t>
            </w:r>
          </w:p>
        </w:tc>
        <w:tc>
          <w:tcPr>
            <w:tcW w:w="1085" w:type="dxa"/>
            <w:gridSpan w:val="2"/>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-6.668</w:t>
            </w:r>
          </w:p>
        </w:tc>
        <w:tc>
          <w:tcPr>
            <w:tcW w:w="1085" w:type="dxa"/>
            <w:gridSpan w:val="2"/>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.000</w:t>
            </w:r>
          </w:p>
        </w:tc>
      </w:tr>
    </w:tbl>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 xml:space="preserve">Independent samples t-tests revealed that all seven domain mean scores were significantly higher for the general-specific condition at the </w:t>
      </w:r>
      <w:r w:rsidRPr="00BD4E37">
        <w:rPr>
          <w:rFonts w:ascii="Times New Roman" w:hAnsi="Times New Roman" w:cs="Times New Roman"/>
          <w:i/>
        </w:rPr>
        <w:t>p</w:t>
      </w:r>
      <w:r w:rsidRPr="00BD4E37">
        <w:rPr>
          <w:rFonts w:ascii="Times New Roman" w:hAnsi="Times New Roman" w:cs="Times New Roman"/>
        </w:rPr>
        <w:t>&lt;.01 level. . Further, the total PWI score was about 7 points higher for the general-specific condition than for the specific-general condition. This difference was also statistically significant (</w:t>
      </w:r>
      <w:r w:rsidRPr="00BD4E37">
        <w:rPr>
          <w:rFonts w:ascii="Times New Roman" w:hAnsi="Times New Roman" w:cs="Times New Roman"/>
          <w:i/>
        </w:rPr>
        <w:t>p</w:t>
      </w:r>
      <w:r w:rsidRPr="00BD4E37">
        <w:rPr>
          <w:rFonts w:ascii="Times New Roman" w:hAnsi="Times New Roman" w:cs="Times New Roman"/>
        </w:rPr>
        <w:t xml:space="preserve">&lt;.01). </w:t>
      </w:r>
    </w:p>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Since the demographic comparison of the groups revealed that they significantly differed in age, the above analyses were repeated using age as a covariate. For the PWI total and all domains, the difference between the groups remained significant (</w:t>
      </w:r>
      <w:r w:rsidRPr="00BD4E37">
        <w:rPr>
          <w:rFonts w:ascii="Times New Roman" w:hAnsi="Times New Roman" w:cs="Times New Roman"/>
          <w:i/>
        </w:rPr>
        <w:t>p</w:t>
      </w:r>
      <w:r w:rsidRPr="00BD4E37">
        <w:rPr>
          <w:rFonts w:ascii="Times New Roman" w:hAnsi="Times New Roman" w:cs="Times New Roman"/>
        </w:rPr>
        <w:t>&lt;.05) even after controlling for age.</w:t>
      </w:r>
    </w:p>
    <w:p w:rsidR="005430A2" w:rsidRPr="00BD4E37" w:rsidRDefault="005430A2" w:rsidP="005430A2">
      <w:pPr>
        <w:spacing w:before="240" w:line="360" w:lineRule="auto"/>
        <w:rPr>
          <w:rFonts w:ascii="Times New Roman" w:hAnsi="Times New Roman" w:cs="Times New Roman"/>
          <w:b/>
        </w:rPr>
      </w:pPr>
      <w:r w:rsidRPr="00BD4E37">
        <w:rPr>
          <w:rFonts w:ascii="Times New Roman" w:hAnsi="Times New Roman" w:cs="Times New Roman"/>
          <w:b/>
        </w:rPr>
        <w:t>3.4 Bivariate Correlations</w:t>
      </w:r>
    </w:p>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Descriptive information including the bivariate correlations of the PWI items and GLS for each condition were calculated and are displayed in Table 3.</w:t>
      </w:r>
      <w:r w:rsidRPr="00BD4E37">
        <w:rPr>
          <w:rFonts w:ascii="Times New Roman" w:hAnsi="Times New Roman" w:cs="Times New Roman"/>
          <w:color w:val="FF0000"/>
        </w:rPr>
        <w:t xml:space="preserve"> </w:t>
      </w:r>
      <w:r w:rsidRPr="00BD4E37">
        <w:rPr>
          <w:rFonts w:ascii="Times New Roman" w:hAnsi="Times New Roman" w:cs="Times New Roman"/>
        </w:rPr>
        <w:t>Values below the diagonal represent the general-specific condition while values above the diagonal represent the specific-general condition.</w:t>
      </w:r>
    </w:p>
    <w:p w:rsidR="005430A2" w:rsidRPr="00BD4E37" w:rsidRDefault="005430A2" w:rsidP="005430A2">
      <w:pPr>
        <w:spacing w:line="360" w:lineRule="auto"/>
        <w:rPr>
          <w:rFonts w:ascii="Times New Roman" w:hAnsi="Times New Roman" w:cs="Times New Roman"/>
        </w:rPr>
      </w:pPr>
      <w:r w:rsidRPr="00BD4E37">
        <w:rPr>
          <w:rFonts w:ascii="Times New Roman" w:hAnsi="Times New Roman" w:cs="Times New Roman"/>
        </w:rPr>
        <w:t>Table 3</w:t>
      </w:r>
    </w:p>
    <w:p w:rsidR="005430A2" w:rsidRPr="00BD4E37" w:rsidRDefault="005430A2" w:rsidP="005430A2">
      <w:pPr>
        <w:spacing w:line="360" w:lineRule="auto"/>
        <w:rPr>
          <w:rFonts w:ascii="Times New Roman" w:hAnsi="Times New Roman" w:cs="Times New Roman"/>
          <w:i/>
        </w:rPr>
      </w:pPr>
      <w:r w:rsidRPr="00BD4E37">
        <w:rPr>
          <w:rFonts w:ascii="Times New Roman" w:hAnsi="Times New Roman" w:cs="Times New Roman"/>
          <w:i/>
        </w:rPr>
        <w:t>Bivariate correlation matrix of life as a whole and PWI items for both groups</w:t>
      </w:r>
    </w:p>
    <w:tbl>
      <w:tblPr>
        <w:tblW w:w="8784" w:type="dxa"/>
        <w:tblLayout w:type="fixed"/>
        <w:tblLook w:val="04A0" w:firstRow="1" w:lastRow="0" w:firstColumn="1" w:lastColumn="0" w:noHBand="0" w:noVBand="1"/>
      </w:tblPr>
      <w:tblGrid>
        <w:gridCol w:w="1843"/>
        <w:gridCol w:w="992"/>
        <w:gridCol w:w="849"/>
        <w:gridCol w:w="850"/>
        <w:gridCol w:w="850"/>
        <w:gridCol w:w="850"/>
        <w:gridCol w:w="850"/>
        <w:gridCol w:w="850"/>
        <w:gridCol w:w="850"/>
      </w:tblGrid>
      <w:tr w:rsidR="005430A2" w:rsidRPr="00BD4E37">
        <w:tc>
          <w:tcPr>
            <w:tcW w:w="1843" w:type="dxa"/>
            <w:tcBorders>
              <w:top w:val="single" w:sz="4" w:space="0" w:color="auto"/>
              <w:bottom w:val="single" w:sz="4" w:space="0" w:color="auto"/>
            </w:tcBorders>
          </w:tcPr>
          <w:p w:rsidR="005430A2" w:rsidRPr="00BD4E37" w:rsidRDefault="005430A2" w:rsidP="000A66D4">
            <w:pPr>
              <w:spacing w:line="360" w:lineRule="auto"/>
              <w:jc w:val="center"/>
              <w:rPr>
                <w:rFonts w:ascii="Times New Roman" w:hAnsi="Times New Roman" w:cs="Times New Roman"/>
              </w:rPr>
            </w:pPr>
          </w:p>
        </w:tc>
        <w:tc>
          <w:tcPr>
            <w:tcW w:w="992" w:type="dxa"/>
            <w:tcBorders>
              <w:top w:val="single" w:sz="4" w:space="0" w:color="auto"/>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Life as a whole</w:t>
            </w:r>
          </w:p>
        </w:tc>
        <w:tc>
          <w:tcPr>
            <w:tcW w:w="849" w:type="dxa"/>
            <w:tcBorders>
              <w:top w:val="single" w:sz="4" w:space="0" w:color="auto"/>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w:t>
            </w:r>
          </w:p>
        </w:tc>
        <w:tc>
          <w:tcPr>
            <w:tcW w:w="850" w:type="dxa"/>
            <w:tcBorders>
              <w:top w:val="single" w:sz="4" w:space="0" w:color="auto"/>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w:t>
            </w:r>
          </w:p>
        </w:tc>
        <w:tc>
          <w:tcPr>
            <w:tcW w:w="850" w:type="dxa"/>
            <w:tcBorders>
              <w:top w:val="single" w:sz="4" w:space="0" w:color="auto"/>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w:t>
            </w:r>
          </w:p>
        </w:tc>
        <w:tc>
          <w:tcPr>
            <w:tcW w:w="850" w:type="dxa"/>
            <w:tcBorders>
              <w:top w:val="single" w:sz="4" w:space="0" w:color="auto"/>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w:t>
            </w:r>
          </w:p>
        </w:tc>
        <w:tc>
          <w:tcPr>
            <w:tcW w:w="850" w:type="dxa"/>
            <w:tcBorders>
              <w:top w:val="single" w:sz="4" w:space="0" w:color="auto"/>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5</w:t>
            </w:r>
          </w:p>
        </w:tc>
        <w:tc>
          <w:tcPr>
            <w:tcW w:w="850" w:type="dxa"/>
            <w:tcBorders>
              <w:top w:val="single" w:sz="4" w:space="0" w:color="auto"/>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w:t>
            </w:r>
          </w:p>
        </w:tc>
        <w:tc>
          <w:tcPr>
            <w:tcW w:w="850" w:type="dxa"/>
            <w:tcBorders>
              <w:top w:val="single" w:sz="4" w:space="0" w:color="auto"/>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w:t>
            </w:r>
          </w:p>
        </w:tc>
      </w:tr>
      <w:tr w:rsidR="005430A2" w:rsidRPr="00BD4E37">
        <w:tc>
          <w:tcPr>
            <w:tcW w:w="1843" w:type="dxa"/>
            <w:tcBorders>
              <w:top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Life as a whole</w:t>
            </w:r>
          </w:p>
        </w:tc>
        <w:tc>
          <w:tcPr>
            <w:tcW w:w="992"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p>
        </w:tc>
        <w:tc>
          <w:tcPr>
            <w:tcW w:w="849" w:type="dxa"/>
            <w:tcBorders>
              <w:top w:val="single" w:sz="4" w:space="0" w:color="auto"/>
            </w:tcBorders>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.65**</w:t>
            </w:r>
          </w:p>
        </w:tc>
        <w:tc>
          <w:tcPr>
            <w:tcW w:w="850" w:type="dxa"/>
            <w:tcBorders>
              <w:top w:val="single" w:sz="4" w:space="0" w:color="auto"/>
            </w:tcBorders>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.61**</w:t>
            </w:r>
          </w:p>
        </w:tc>
        <w:tc>
          <w:tcPr>
            <w:tcW w:w="850" w:type="dxa"/>
            <w:tcBorders>
              <w:top w:val="single" w:sz="4" w:space="0" w:color="auto"/>
            </w:tcBorders>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.73**</w:t>
            </w:r>
          </w:p>
        </w:tc>
        <w:tc>
          <w:tcPr>
            <w:tcW w:w="850" w:type="dxa"/>
            <w:tcBorders>
              <w:top w:val="single" w:sz="4" w:space="0" w:color="auto"/>
            </w:tcBorders>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.69**</w:t>
            </w:r>
          </w:p>
        </w:tc>
        <w:tc>
          <w:tcPr>
            <w:tcW w:w="850" w:type="dxa"/>
            <w:tcBorders>
              <w:top w:val="single" w:sz="4" w:space="0" w:color="auto"/>
            </w:tcBorders>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.59**</w:t>
            </w:r>
          </w:p>
        </w:tc>
        <w:tc>
          <w:tcPr>
            <w:tcW w:w="850" w:type="dxa"/>
            <w:tcBorders>
              <w:top w:val="single" w:sz="4" w:space="0" w:color="auto"/>
            </w:tcBorders>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.58**</w:t>
            </w:r>
          </w:p>
        </w:tc>
        <w:tc>
          <w:tcPr>
            <w:tcW w:w="850" w:type="dxa"/>
            <w:tcBorders>
              <w:top w:val="single" w:sz="4" w:space="0" w:color="auto"/>
            </w:tcBorders>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.66**</w:t>
            </w:r>
          </w:p>
        </w:tc>
      </w:tr>
      <w:tr w:rsidR="005430A2" w:rsidRPr="00BD4E37">
        <w:tc>
          <w:tcPr>
            <w:tcW w:w="1843"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1. Std of Living</w:t>
            </w:r>
          </w:p>
        </w:tc>
        <w:tc>
          <w:tcPr>
            <w:tcW w:w="992"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.46**</w:t>
            </w:r>
          </w:p>
        </w:tc>
        <w:tc>
          <w:tcPr>
            <w:tcW w:w="849" w:type="dxa"/>
          </w:tcPr>
          <w:p w:rsidR="005430A2" w:rsidRPr="00BD4E37" w:rsidRDefault="005430A2" w:rsidP="000A66D4">
            <w:pPr>
              <w:spacing w:line="360" w:lineRule="auto"/>
              <w:jc w:val="center"/>
              <w:rPr>
                <w:rFonts w:ascii="Times New Roman" w:hAnsi="Times New Roman" w:cs="Times New Roman"/>
              </w:rPr>
            </w:pP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.56**</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.48**</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.52**</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.49**</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.43**</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.50**</w:t>
            </w:r>
          </w:p>
        </w:tc>
      </w:tr>
      <w:tr w:rsidR="005430A2" w:rsidRPr="00BD4E37">
        <w:tc>
          <w:tcPr>
            <w:tcW w:w="1843"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2. Health</w:t>
            </w:r>
          </w:p>
        </w:tc>
        <w:tc>
          <w:tcPr>
            <w:tcW w:w="992"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.43**</w:t>
            </w:r>
          </w:p>
        </w:tc>
        <w:tc>
          <w:tcPr>
            <w:tcW w:w="84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.41**</w:t>
            </w:r>
          </w:p>
        </w:tc>
        <w:tc>
          <w:tcPr>
            <w:tcW w:w="850" w:type="dxa"/>
          </w:tcPr>
          <w:p w:rsidR="005430A2" w:rsidRPr="00BD4E37" w:rsidRDefault="005430A2" w:rsidP="000A66D4">
            <w:pPr>
              <w:spacing w:line="360" w:lineRule="auto"/>
              <w:jc w:val="center"/>
              <w:rPr>
                <w:rFonts w:ascii="Times New Roman" w:hAnsi="Times New Roman" w:cs="Times New Roman"/>
              </w:rPr>
            </w:pP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.55**</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.45**</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.45**</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.37**</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.49**</w:t>
            </w:r>
          </w:p>
        </w:tc>
      </w:tr>
      <w:tr w:rsidR="005430A2" w:rsidRPr="00BD4E37">
        <w:tc>
          <w:tcPr>
            <w:tcW w:w="1843"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3. Achieving</w:t>
            </w:r>
          </w:p>
        </w:tc>
        <w:tc>
          <w:tcPr>
            <w:tcW w:w="992"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.61**</w:t>
            </w:r>
          </w:p>
        </w:tc>
        <w:tc>
          <w:tcPr>
            <w:tcW w:w="84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.29**</w:t>
            </w:r>
          </w:p>
        </w:tc>
        <w:tc>
          <w:tcPr>
            <w:tcW w:w="850"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.41**</w:t>
            </w:r>
          </w:p>
        </w:tc>
        <w:tc>
          <w:tcPr>
            <w:tcW w:w="850" w:type="dxa"/>
          </w:tcPr>
          <w:p w:rsidR="005430A2" w:rsidRPr="00BD4E37" w:rsidRDefault="005430A2" w:rsidP="000A66D4">
            <w:pPr>
              <w:spacing w:line="360" w:lineRule="auto"/>
              <w:jc w:val="center"/>
              <w:rPr>
                <w:rFonts w:ascii="Times New Roman" w:hAnsi="Times New Roman" w:cs="Times New Roman"/>
              </w:rPr>
            </w:pP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.47**</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.41**</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.42**</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.60**</w:t>
            </w:r>
          </w:p>
        </w:tc>
      </w:tr>
      <w:tr w:rsidR="005430A2" w:rsidRPr="00BD4E37">
        <w:tc>
          <w:tcPr>
            <w:tcW w:w="1843"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4. Relationships</w:t>
            </w:r>
          </w:p>
        </w:tc>
        <w:tc>
          <w:tcPr>
            <w:tcW w:w="992"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.51**</w:t>
            </w:r>
          </w:p>
        </w:tc>
        <w:tc>
          <w:tcPr>
            <w:tcW w:w="84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.18**</w:t>
            </w:r>
          </w:p>
        </w:tc>
        <w:tc>
          <w:tcPr>
            <w:tcW w:w="850"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.22**</w:t>
            </w:r>
          </w:p>
        </w:tc>
        <w:tc>
          <w:tcPr>
            <w:tcW w:w="850"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.39**</w:t>
            </w:r>
          </w:p>
        </w:tc>
        <w:tc>
          <w:tcPr>
            <w:tcW w:w="850" w:type="dxa"/>
          </w:tcPr>
          <w:p w:rsidR="005430A2" w:rsidRPr="00BD4E37" w:rsidRDefault="005430A2" w:rsidP="000A66D4">
            <w:pPr>
              <w:spacing w:line="360" w:lineRule="auto"/>
              <w:jc w:val="center"/>
              <w:rPr>
                <w:rFonts w:ascii="Times New Roman" w:hAnsi="Times New Roman" w:cs="Times New Roman"/>
              </w:rPr>
            </w:pP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.45**</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.48**</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.48**</w:t>
            </w:r>
          </w:p>
        </w:tc>
      </w:tr>
      <w:tr w:rsidR="005430A2" w:rsidRPr="00BD4E37">
        <w:tc>
          <w:tcPr>
            <w:tcW w:w="1843"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5. Safety</w:t>
            </w:r>
          </w:p>
        </w:tc>
        <w:tc>
          <w:tcPr>
            <w:tcW w:w="992"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.24**</w:t>
            </w:r>
          </w:p>
        </w:tc>
        <w:tc>
          <w:tcPr>
            <w:tcW w:w="84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.32**</w:t>
            </w:r>
          </w:p>
        </w:tc>
        <w:tc>
          <w:tcPr>
            <w:tcW w:w="850"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.25**</w:t>
            </w:r>
          </w:p>
        </w:tc>
        <w:tc>
          <w:tcPr>
            <w:tcW w:w="850"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.37**</w:t>
            </w:r>
          </w:p>
        </w:tc>
        <w:tc>
          <w:tcPr>
            <w:tcW w:w="850"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.37**</w:t>
            </w:r>
          </w:p>
        </w:tc>
        <w:tc>
          <w:tcPr>
            <w:tcW w:w="850" w:type="dxa"/>
          </w:tcPr>
          <w:p w:rsidR="005430A2" w:rsidRPr="00BD4E37" w:rsidRDefault="005430A2" w:rsidP="000A66D4">
            <w:pPr>
              <w:spacing w:line="360" w:lineRule="auto"/>
              <w:jc w:val="center"/>
              <w:rPr>
                <w:rFonts w:ascii="Times New Roman" w:hAnsi="Times New Roman" w:cs="Times New Roman"/>
              </w:rPr>
            </w:pP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.51**</w:t>
            </w: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.56**</w:t>
            </w:r>
          </w:p>
        </w:tc>
      </w:tr>
      <w:tr w:rsidR="005430A2" w:rsidRPr="00BD4E37">
        <w:tc>
          <w:tcPr>
            <w:tcW w:w="1843"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6. Community</w:t>
            </w:r>
          </w:p>
        </w:tc>
        <w:tc>
          <w:tcPr>
            <w:tcW w:w="992"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.40**</w:t>
            </w:r>
          </w:p>
        </w:tc>
        <w:tc>
          <w:tcPr>
            <w:tcW w:w="849"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.34**</w:t>
            </w:r>
          </w:p>
        </w:tc>
        <w:tc>
          <w:tcPr>
            <w:tcW w:w="850"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.24**</w:t>
            </w:r>
          </w:p>
        </w:tc>
        <w:tc>
          <w:tcPr>
            <w:tcW w:w="850"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.34**</w:t>
            </w:r>
          </w:p>
        </w:tc>
        <w:tc>
          <w:tcPr>
            <w:tcW w:w="850"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.30**</w:t>
            </w:r>
          </w:p>
        </w:tc>
        <w:tc>
          <w:tcPr>
            <w:tcW w:w="850"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.45**</w:t>
            </w:r>
          </w:p>
        </w:tc>
        <w:tc>
          <w:tcPr>
            <w:tcW w:w="850" w:type="dxa"/>
          </w:tcPr>
          <w:p w:rsidR="005430A2" w:rsidRPr="00BD4E37" w:rsidRDefault="005430A2" w:rsidP="000A66D4">
            <w:pPr>
              <w:spacing w:line="360" w:lineRule="auto"/>
              <w:jc w:val="center"/>
              <w:rPr>
                <w:rFonts w:ascii="Times New Roman" w:hAnsi="Times New Roman" w:cs="Times New Roman"/>
              </w:rPr>
            </w:pPr>
          </w:p>
        </w:tc>
        <w:tc>
          <w:tcPr>
            <w:tcW w:w="850" w:type="dxa"/>
          </w:tcPr>
          <w:p w:rsidR="005430A2" w:rsidRPr="00BD4E37" w:rsidRDefault="005430A2" w:rsidP="000A66D4">
            <w:pPr>
              <w:spacing w:line="360" w:lineRule="auto"/>
              <w:jc w:val="center"/>
              <w:rPr>
                <w:rFonts w:ascii="Times New Roman" w:hAnsi="Times New Roman" w:cs="Times New Roman"/>
                <w:b/>
              </w:rPr>
            </w:pPr>
            <w:r w:rsidRPr="00BD4E37">
              <w:rPr>
                <w:rFonts w:ascii="Times New Roman" w:hAnsi="Times New Roman" w:cs="Times New Roman"/>
                <w:b/>
              </w:rPr>
              <w:t>.52**</w:t>
            </w:r>
          </w:p>
        </w:tc>
      </w:tr>
      <w:tr w:rsidR="005430A2" w:rsidRPr="00BD4E37">
        <w:tc>
          <w:tcPr>
            <w:tcW w:w="1843" w:type="dxa"/>
            <w:tcBorders>
              <w:bottom w:val="single" w:sz="4" w:space="0" w:color="auto"/>
            </w:tcBorders>
          </w:tcPr>
          <w:p w:rsidR="005430A2" w:rsidRPr="00BD4E37" w:rsidRDefault="005430A2" w:rsidP="000A66D4">
            <w:pPr>
              <w:spacing w:line="360" w:lineRule="auto"/>
              <w:rPr>
                <w:rFonts w:ascii="Times New Roman" w:hAnsi="Times New Roman" w:cs="Times New Roman"/>
              </w:rPr>
            </w:pPr>
            <w:r>
              <w:rPr>
                <w:rFonts w:ascii="Times New Roman" w:hAnsi="Times New Roman" w:cs="Times New Roman"/>
              </w:rPr>
              <w:t>7.</w:t>
            </w:r>
            <w:r w:rsidRPr="00BD4E37">
              <w:rPr>
                <w:rFonts w:ascii="Times New Roman" w:hAnsi="Times New Roman" w:cs="Times New Roman"/>
              </w:rPr>
              <w:t xml:space="preserve"> Security</w:t>
            </w:r>
          </w:p>
        </w:tc>
        <w:tc>
          <w:tcPr>
            <w:tcW w:w="992"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.51**</w:t>
            </w:r>
          </w:p>
        </w:tc>
        <w:tc>
          <w:tcPr>
            <w:tcW w:w="849"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.48**</w:t>
            </w:r>
          </w:p>
        </w:tc>
        <w:tc>
          <w:tcPr>
            <w:tcW w:w="850"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.31**</w:t>
            </w:r>
          </w:p>
        </w:tc>
        <w:tc>
          <w:tcPr>
            <w:tcW w:w="850"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.45**</w:t>
            </w:r>
          </w:p>
        </w:tc>
        <w:tc>
          <w:tcPr>
            <w:tcW w:w="850"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.27**</w:t>
            </w:r>
          </w:p>
        </w:tc>
        <w:tc>
          <w:tcPr>
            <w:tcW w:w="850"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.48**</w:t>
            </w:r>
          </w:p>
        </w:tc>
        <w:tc>
          <w:tcPr>
            <w:tcW w:w="850"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.57**</w:t>
            </w:r>
          </w:p>
        </w:tc>
        <w:tc>
          <w:tcPr>
            <w:tcW w:w="850"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p>
        </w:tc>
      </w:tr>
    </w:tbl>
    <w:p w:rsidR="005430A2" w:rsidRPr="00BD4E37" w:rsidRDefault="005430A2" w:rsidP="005430A2">
      <w:pPr>
        <w:spacing w:line="360" w:lineRule="auto"/>
        <w:rPr>
          <w:rFonts w:ascii="Times New Roman" w:hAnsi="Times New Roman" w:cs="Times New Roman"/>
        </w:rPr>
      </w:pPr>
      <w:r w:rsidRPr="00BD4E37">
        <w:rPr>
          <w:rFonts w:ascii="Times New Roman" w:hAnsi="Times New Roman" w:cs="Times New Roman"/>
        </w:rPr>
        <w:t xml:space="preserve">** Correlation is significant at the </w:t>
      </w:r>
      <w:r w:rsidRPr="00BD4E37">
        <w:rPr>
          <w:rFonts w:ascii="Times New Roman" w:hAnsi="Times New Roman" w:cs="Times New Roman"/>
          <w:i/>
        </w:rPr>
        <w:t>p</w:t>
      </w:r>
      <w:r w:rsidRPr="00BD4E37">
        <w:rPr>
          <w:rFonts w:ascii="Times New Roman" w:hAnsi="Times New Roman" w:cs="Times New Roman"/>
        </w:rPr>
        <w:t>&lt;.01 level (2-tailed)</w:t>
      </w:r>
    </w:p>
    <w:p w:rsidR="005430A2" w:rsidRPr="0074374B" w:rsidRDefault="005430A2" w:rsidP="005430A2">
      <w:pPr>
        <w:spacing w:before="240" w:line="360" w:lineRule="auto"/>
        <w:rPr>
          <w:rFonts w:ascii="Times New Roman" w:hAnsi="Times New Roman" w:cs="Times New Roman"/>
        </w:rPr>
      </w:pPr>
      <w:r w:rsidRPr="00BD4E37">
        <w:rPr>
          <w:rFonts w:ascii="Times New Roman" w:hAnsi="Times New Roman" w:cs="Times New Roman"/>
        </w:rPr>
        <w:tab/>
        <w:t>As expected, each vari</w:t>
      </w:r>
      <w:r>
        <w:rPr>
          <w:rFonts w:ascii="Times New Roman" w:hAnsi="Times New Roman" w:cs="Times New Roman"/>
        </w:rPr>
        <w:t>able in the correlation matrix</w:t>
      </w:r>
      <w:r w:rsidRPr="00BD4E37">
        <w:rPr>
          <w:rFonts w:ascii="Times New Roman" w:hAnsi="Times New Roman" w:cs="Times New Roman"/>
        </w:rPr>
        <w:t xml:space="preserve"> were significantly positively correlated with all other variables at the </w:t>
      </w:r>
      <w:r w:rsidRPr="00BD4E37">
        <w:rPr>
          <w:rFonts w:ascii="Times New Roman" w:hAnsi="Times New Roman" w:cs="Times New Roman"/>
          <w:i/>
        </w:rPr>
        <w:t>p</w:t>
      </w:r>
      <w:r>
        <w:rPr>
          <w:rFonts w:ascii="Times New Roman" w:hAnsi="Times New Roman" w:cs="Times New Roman"/>
        </w:rPr>
        <w:t>&lt;</w:t>
      </w:r>
      <w:r w:rsidRPr="00BD4E37">
        <w:rPr>
          <w:rFonts w:ascii="Times New Roman" w:hAnsi="Times New Roman" w:cs="Times New Roman"/>
        </w:rPr>
        <w:t>.01 level. In the specific-general condition, correlations were generally higher overall.</w:t>
      </w:r>
    </w:p>
    <w:p w:rsidR="005430A2" w:rsidRPr="00BD4E37" w:rsidRDefault="005430A2" w:rsidP="005430A2">
      <w:pPr>
        <w:spacing w:before="240" w:line="360" w:lineRule="auto"/>
        <w:rPr>
          <w:rFonts w:ascii="Times New Roman" w:hAnsi="Times New Roman" w:cs="Times New Roman"/>
          <w:b/>
        </w:rPr>
      </w:pPr>
      <w:r w:rsidRPr="00BD4E37">
        <w:rPr>
          <w:rFonts w:ascii="Times New Roman" w:hAnsi="Times New Roman" w:cs="Times New Roman"/>
          <w:b/>
        </w:rPr>
        <w:t xml:space="preserve">3.5 </w:t>
      </w:r>
      <w:r>
        <w:rPr>
          <w:rFonts w:ascii="Times New Roman" w:hAnsi="Times New Roman" w:cs="Times New Roman"/>
          <w:b/>
        </w:rPr>
        <w:t>Hypothesis T</w:t>
      </w:r>
      <w:r w:rsidRPr="00BD4E37">
        <w:rPr>
          <w:rFonts w:ascii="Times New Roman" w:hAnsi="Times New Roman" w:cs="Times New Roman"/>
          <w:b/>
        </w:rPr>
        <w:t>esting</w:t>
      </w:r>
    </w:p>
    <w:p w:rsidR="005430A2" w:rsidRPr="00BD4E37" w:rsidRDefault="005430A2" w:rsidP="005430A2">
      <w:pPr>
        <w:spacing w:before="240" w:line="360" w:lineRule="auto"/>
        <w:ind w:firstLine="720"/>
        <w:rPr>
          <w:rFonts w:ascii="Times New Roman" w:hAnsi="Times New Roman" w:cs="Times New Roman"/>
          <w:bCs/>
        </w:rPr>
      </w:pPr>
      <w:r w:rsidRPr="00BD4E37">
        <w:rPr>
          <w:rFonts w:ascii="Times New Roman" w:hAnsi="Times New Roman" w:cs="Times New Roman"/>
          <w:bCs/>
        </w:rPr>
        <w:t xml:space="preserve">To test the hypothesis that there would be a significant difference in </w:t>
      </w:r>
      <w:r>
        <w:rPr>
          <w:rFonts w:ascii="Times New Roman" w:hAnsi="Times New Roman" w:cs="Times New Roman"/>
          <w:bCs/>
        </w:rPr>
        <w:t xml:space="preserve">GLS </w:t>
      </w:r>
      <w:r w:rsidRPr="00BD4E37">
        <w:rPr>
          <w:rFonts w:ascii="Times New Roman" w:hAnsi="Times New Roman" w:cs="Times New Roman"/>
          <w:bCs/>
        </w:rPr>
        <w:t>between the two conditions, an independent samples t-te</w:t>
      </w:r>
      <w:r>
        <w:rPr>
          <w:rFonts w:ascii="Times New Roman" w:hAnsi="Times New Roman" w:cs="Times New Roman"/>
          <w:bCs/>
        </w:rPr>
        <w:t xml:space="preserve">st was conducted. </w:t>
      </w:r>
      <w:r w:rsidRPr="00BD4E37">
        <w:rPr>
          <w:rFonts w:ascii="Times New Roman" w:hAnsi="Times New Roman" w:cs="Times New Roman"/>
          <w:bCs/>
        </w:rPr>
        <w:t>Given that equality of group variances assumption was violated for this data set (</w:t>
      </w:r>
      <w:r w:rsidRPr="00BD4E37">
        <w:rPr>
          <w:rFonts w:ascii="Times New Roman" w:hAnsi="Times New Roman" w:cs="Times New Roman"/>
          <w:bCs/>
          <w:i/>
        </w:rPr>
        <w:t>F</w:t>
      </w:r>
      <w:r w:rsidRPr="00BD4E37">
        <w:rPr>
          <w:rFonts w:ascii="Times New Roman" w:hAnsi="Times New Roman" w:cs="Times New Roman"/>
          <w:bCs/>
        </w:rPr>
        <w:t xml:space="preserve">= 11.10, </w:t>
      </w:r>
      <w:r w:rsidRPr="00BD4E37">
        <w:rPr>
          <w:rFonts w:ascii="Times New Roman" w:hAnsi="Times New Roman" w:cs="Times New Roman"/>
          <w:bCs/>
          <w:i/>
        </w:rPr>
        <w:t>p</w:t>
      </w:r>
      <w:r w:rsidRPr="00BD4E37">
        <w:rPr>
          <w:rFonts w:ascii="Times New Roman" w:hAnsi="Times New Roman" w:cs="Times New Roman"/>
          <w:bCs/>
        </w:rPr>
        <w:t xml:space="preserve">&lt;.01), a more stringent criterion was applied for evaluating group differences. In this instance, there was no significant difference in scores for life as a whole for the general-specific condition (M= 72.40, SD=14.65) and the specific-general condition (M= 70.57, SD= 18.85); t (594.30) = -1.38, </w:t>
      </w:r>
      <w:r w:rsidRPr="00BD4E37">
        <w:rPr>
          <w:rFonts w:ascii="Times New Roman" w:hAnsi="Times New Roman" w:cs="Times New Roman"/>
          <w:bCs/>
          <w:i/>
        </w:rPr>
        <w:t>p</w:t>
      </w:r>
      <w:r w:rsidRPr="00BD4E37">
        <w:rPr>
          <w:rFonts w:ascii="Times New Roman" w:hAnsi="Times New Roman" w:cs="Times New Roman"/>
          <w:bCs/>
        </w:rPr>
        <w:t xml:space="preserve">= .17, two-tailed. </w:t>
      </w:r>
    </w:p>
    <w:p w:rsidR="005430A2" w:rsidRPr="00BD4E37" w:rsidRDefault="005430A2" w:rsidP="005430A2">
      <w:pPr>
        <w:spacing w:before="240" w:line="360" w:lineRule="auto"/>
        <w:rPr>
          <w:rFonts w:ascii="Times New Roman" w:hAnsi="Times New Roman" w:cs="Times New Roman"/>
        </w:rPr>
      </w:pPr>
      <w:r w:rsidRPr="00BD4E37">
        <w:rPr>
          <w:rFonts w:ascii="Times New Roman" w:hAnsi="Times New Roman" w:cs="Times New Roman"/>
        </w:rPr>
        <w:tab/>
        <w:t>To test the hypothesis that despite the item-order change, the PWI should reveal a similar factor structure in each condition, a maximum likelihood</w:t>
      </w:r>
      <w:r>
        <w:rPr>
          <w:rFonts w:ascii="Times New Roman" w:hAnsi="Times New Roman" w:cs="Times New Roman"/>
        </w:rPr>
        <w:t xml:space="preserve"> factor analysis was conducted. </w:t>
      </w:r>
      <w:r w:rsidRPr="00BD4E37">
        <w:rPr>
          <w:rFonts w:ascii="Times New Roman" w:hAnsi="Times New Roman" w:cs="Times New Roman"/>
        </w:rPr>
        <w:t>Prior to analysis, the suitability of factor analysis was assessed using the Kaiser-Meyer-Olkin Measure of Sampling Adequacy and Bartlett’s test of sphericity. The Kaiser-Meyer-Olkin value was acceptable fo</w:t>
      </w:r>
      <w:r>
        <w:rPr>
          <w:rFonts w:ascii="Times New Roman" w:hAnsi="Times New Roman" w:cs="Times New Roman"/>
        </w:rPr>
        <w:t>r both groups (general-specific= .78, specific-general</w:t>
      </w:r>
      <w:r w:rsidRPr="00BD4E37">
        <w:rPr>
          <w:rFonts w:ascii="Times New Roman" w:hAnsi="Times New Roman" w:cs="Times New Roman"/>
        </w:rPr>
        <w:t>= .89) exceeding the recommended value of .6 (Kaiser 1970, 1974) and Bartlett’s Test of Sphericity (Bartlett, 1954) reached statistical significance (</w:t>
      </w:r>
      <w:r w:rsidRPr="00BD4E37">
        <w:rPr>
          <w:rFonts w:ascii="Times New Roman" w:hAnsi="Times New Roman" w:cs="Times New Roman"/>
          <w:i/>
        </w:rPr>
        <w:t>p</w:t>
      </w:r>
      <w:r>
        <w:rPr>
          <w:rFonts w:ascii="Times New Roman" w:hAnsi="Times New Roman" w:cs="Times New Roman"/>
        </w:rPr>
        <w:t>&lt;</w:t>
      </w:r>
      <w:r w:rsidRPr="00BD4E37">
        <w:rPr>
          <w:rFonts w:ascii="Times New Roman" w:hAnsi="Times New Roman" w:cs="Times New Roman"/>
        </w:rPr>
        <w:t xml:space="preserve">.1), supporting the factorability of the correlation matrices. Further, inspection of the correlation matrix revealed the presence of many coefficients of .3 and above. </w:t>
      </w:r>
    </w:p>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Table 4 be</w:t>
      </w:r>
      <w:r>
        <w:rPr>
          <w:rFonts w:ascii="Times New Roman" w:hAnsi="Times New Roman" w:cs="Times New Roman"/>
        </w:rPr>
        <w:t>low displays the factor loadings</w:t>
      </w:r>
      <w:r w:rsidRPr="00BD4E37">
        <w:rPr>
          <w:rFonts w:ascii="Times New Roman" w:hAnsi="Times New Roman" w:cs="Times New Roman"/>
        </w:rPr>
        <w:t>, the amount of variance explained and Cronbach’s alpha for the two conditions.</w:t>
      </w: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p>
    <w:p w:rsidR="005430A2" w:rsidRPr="00BD4E37" w:rsidRDefault="005430A2" w:rsidP="005430A2">
      <w:pPr>
        <w:spacing w:line="360" w:lineRule="auto"/>
        <w:rPr>
          <w:rFonts w:ascii="Times New Roman" w:hAnsi="Times New Roman" w:cs="Times New Roman"/>
        </w:rPr>
      </w:pPr>
      <w:r w:rsidRPr="00BD4E37">
        <w:rPr>
          <w:rFonts w:ascii="Times New Roman" w:hAnsi="Times New Roman" w:cs="Times New Roman"/>
        </w:rPr>
        <w:t>Table 4</w:t>
      </w:r>
    </w:p>
    <w:p w:rsidR="005430A2" w:rsidRPr="00BD4E37" w:rsidRDefault="005430A2" w:rsidP="005430A2">
      <w:pPr>
        <w:spacing w:line="360" w:lineRule="auto"/>
        <w:rPr>
          <w:rFonts w:ascii="Times New Roman" w:hAnsi="Times New Roman" w:cs="Times New Roman"/>
          <w:i/>
        </w:rPr>
      </w:pPr>
      <w:r w:rsidRPr="00BD4E37">
        <w:rPr>
          <w:rFonts w:ascii="Times New Roman" w:hAnsi="Times New Roman" w:cs="Times New Roman"/>
          <w:i/>
        </w:rPr>
        <w:t xml:space="preserve">Summary of Maximum Likelihood Estimation Results for PWI items </w:t>
      </w:r>
    </w:p>
    <w:tbl>
      <w:tblPr>
        <w:tblW w:w="0" w:type="auto"/>
        <w:tblLook w:val="04A0" w:firstRow="1" w:lastRow="0" w:firstColumn="1" w:lastColumn="0" w:noHBand="0" w:noVBand="1"/>
      </w:tblPr>
      <w:tblGrid>
        <w:gridCol w:w="2925"/>
        <w:gridCol w:w="2926"/>
        <w:gridCol w:w="2926"/>
      </w:tblGrid>
      <w:tr w:rsidR="005430A2" w:rsidRPr="00BD4E37">
        <w:tc>
          <w:tcPr>
            <w:tcW w:w="2925" w:type="dxa"/>
            <w:tcBorders>
              <w:top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Item</w:t>
            </w:r>
          </w:p>
        </w:tc>
        <w:tc>
          <w:tcPr>
            <w:tcW w:w="5852" w:type="dxa"/>
            <w:gridSpan w:val="2"/>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Factor Loadings</w:t>
            </w:r>
          </w:p>
        </w:tc>
      </w:tr>
      <w:tr w:rsidR="005430A2" w:rsidRPr="00BD4E37">
        <w:tc>
          <w:tcPr>
            <w:tcW w:w="2925" w:type="dxa"/>
            <w:tcBorders>
              <w:bottom w:val="single" w:sz="4" w:space="0" w:color="auto"/>
            </w:tcBorders>
          </w:tcPr>
          <w:p w:rsidR="005430A2" w:rsidRPr="00BD4E37" w:rsidRDefault="005430A2" w:rsidP="000A66D4">
            <w:pPr>
              <w:spacing w:line="360" w:lineRule="auto"/>
              <w:rPr>
                <w:rFonts w:ascii="Times New Roman" w:hAnsi="Times New Roman" w:cs="Times New Roman"/>
              </w:rPr>
            </w:pPr>
          </w:p>
        </w:tc>
        <w:tc>
          <w:tcPr>
            <w:tcW w:w="2926"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General-Specific</w:t>
            </w:r>
          </w:p>
        </w:tc>
        <w:tc>
          <w:tcPr>
            <w:tcW w:w="2926"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Specific-General</w:t>
            </w:r>
          </w:p>
        </w:tc>
      </w:tr>
      <w:tr w:rsidR="005430A2" w:rsidRPr="00BD4E37">
        <w:tc>
          <w:tcPr>
            <w:tcW w:w="2925" w:type="dxa"/>
            <w:tcBorders>
              <w:top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Standard of Living</w:t>
            </w:r>
          </w:p>
        </w:tc>
        <w:tc>
          <w:tcPr>
            <w:tcW w:w="2926"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.58</w:t>
            </w:r>
          </w:p>
        </w:tc>
        <w:tc>
          <w:tcPr>
            <w:tcW w:w="2926"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.71</w:t>
            </w:r>
          </w:p>
        </w:tc>
      </w:tr>
      <w:tr w:rsidR="005430A2" w:rsidRPr="00BD4E37">
        <w:tc>
          <w:tcPr>
            <w:tcW w:w="2925"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Health</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.47</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.69</w:t>
            </w:r>
          </w:p>
        </w:tc>
      </w:tr>
      <w:tr w:rsidR="005430A2" w:rsidRPr="00BD4E37">
        <w:tc>
          <w:tcPr>
            <w:tcW w:w="2925"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Achieving</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.56</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.71</w:t>
            </w:r>
          </w:p>
        </w:tc>
      </w:tr>
      <w:tr w:rsidR="005430A2" w:rsidRPr="00BD4E37">
        <w:tc>
          <w:tcPr>
            <w:tcW w:w="2925"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Relationships</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.44</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.68</w:t>
            </w:r>
          </w:p>
        </w:tc>
      </w:tr>
      <w:tr w:rsidR="005430A2" w:rsidRPr="00BD4E37">
        <w:tc>
          <w:tcPr>
            <w:tcW w:w="2925"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Safety</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.60</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.68</w:t>
            </w:r>
          </w:p>
        </w:tc>
      </w:tr>
      <w:tr w:rsidR="005430A2" w:rsidRPr="00BD4E37">
        <w:tc>
          <w:tcPr>
            <w:tcW w:w="2925"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Community</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.67</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.65</w:t>
            </w:r>
          </w:p>
        </w:tc>
      </w:tr>
      <w:tr w:rsidR="005430A2" w:rsidRPr="00BD4E37">
        <w:tc>
          <w:tcPr>
            <w:tcW w:w="2925"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Future Security</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.79</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.77</w:t>
            </w:r>
          </w:p>
        </w:tc>
      </w:tr>
      <w:tr w:rsidR="005430A2" w:rsidRPr="00BD4E37">
        <w:tc>
          <w:tcPr>
            <w:tcW w:w="2925"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Eigenvalues</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2.49</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3.41</w:t>
            </w:r>
          </w:p>
        </w:tc>
      </w:tr>
      <w:tr w:rsidR="005430A2" w:rsidRPr="00BD4E37">
        <w:tc>
          <w:tcPr>
            <w:tcW w:w="2925"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 of variance</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35.60</w:t>
            </w:r>
          </w:p>
        </w:tc>
        <w:tc>
          <w:tcPr>
            <w:tcW w:w="2926"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48.64</w:t>
            </w:r>
          </w:p>
        </w:tc>
      </w:tr>
      <w:tr w:rsidR="005430A2" w:rsidRPr="00BD4E37">
        <w:tc>
          <w:tcPr>
            <w:tcW w:w="2925" w:type="dxa"/>
            <w:tcBorders>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Cronbach’s alpha</w:t>
            </w:r>
          </w:p>
        </w:tc>
        <w:tc>
          <w:tcPr>
            <w:tcW w:w="2926"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.79</w:t>
            </w:r>
          </w:p>
        </w:tc>
        <w:tc>
          <w:tcPr>
            <w:tcW w:w="2926" w:type="dxa"/>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.87</w:t>
            </w:r>
          </w:p>
        </w:tc>
      </w:tr>
    </w:tbl>
    <w:p w:rsidR="005430A2" w:rsidRPr="00BD4E37" w:rsidRDefault="005430A2" w:rsidP="005430A2">
      <w:pPr>
        <w:spacing w:line="360" w:lineRule="auto"/>
        <w:rPr>
          <w:rFonts w:ascii="Times New Roman" w:hAnsi="Times New Roman" w:cs="Times New Roman"/>
        </w:rPr>
      </w:pPr>
      <w:r w:rsidRPr="00BD4E37">
        <w:rPr>
          <w:rFonts w:ascii="Times New Roman" w:hAnsi="Times New Roman" w:cs="Times New Roman"/>
        </w:rPr>
        <w:tab/>
        <w:t xml:space="preserve"> </w:t>
      </w:r>
    </w:p>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As expected, factor analysis revealed the presence of a single factor structure in both conditions, as revealed by an eigenvalue exceeding one and further supported by inspection of the scree plot</w:t>
      </w:r>
      <w:r>
        <w:rPr>
          <w:rFonts w:ascii="Times New Roman" w:hAnsi="Times New Roman" w:cs="Times New Roman"/>
        </w:rPr>
        <w:t>s</w:t>
      </w:r>
      <w:r w:rsidRPr="00BD4E37">
        <w:rPr>
          <w:rFonts w:ascii="Times New Roman" w:hAnsi="Times New Roman" w:cs="Times New Roman"/>
        </w:rPr>
        <w:t>. The single factor structure was consistent with previous factor analyses of the PWI (International Wellbeing Group, 2013). In the general-specific condition, the single factor accounted for 35.60 percent of the variance and 48.64 percent of the variance in the specific-general condition.</w:t>
      </w:r>
    </w:p>
    <w:p w:rsidR="005430A2" w:rsidRPr="00BD4E37"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The relative factor loadings differed across the conditions, with future security, community and safety loading highest on the latent variable in the general-specific condition. In contrast, future security, achieving in life and standard of living loaded highest on the latent variable in the specific-general condition. The factor loadings varied in range and were generally lower in the general-specific condition. The results also revealed appropriate internal reliability for both conditions</w:t>
      </w:r>
    </w:p>
    <w:p w:rsidR="005430A2" w:rsidRPr="00BD4E37" w:rsidRDefault="005430A2" w:rsidP="005430A2">
      <w:pPr>
        <w:spacing w:before="240" w:line="360" w:lineRule="auto"/>
        <w:rPr>
          <w:rFonts w:ascii="Times New Roman" w:hAnsi="Times New Roman" w:cs="Times New Roman"/>
        </w:rPr>
      </w:pPr>
      <w:r w:rsidRPr="00BD4E37">
        <w:rPr>
          <w:rFonts w:ascii="Times New Roman" w:hAnsi="Times New Roman" w:cs="Times New Roman"/>
          <w:color w:val="365F91" w:themeColor="accent1" w:themeShade="BF"/>
        </w:rPr>
        <w:tab/>
      </w:r>
      <w:r w:rsidRPr="00BD4E37">
        <w:rPr>
          <w:rFonts w:ascii="Times New Roman" w:hAnsi="Times New Roman" w:cs="Times New Roman"/>
        </w:rPr>
        <w:t xml:space="preserve">To test the third hypothesis, that the PWI items should explain more variance in GLS in the specific-general condition compared to the general-specific condition, two multiple regressions were </w:t>
      </w:r>
      <w:r>
        <w:rPr>
          <w:rFonts w:ascii="Times New Roman" w:hAnsi="Times New Roman" w:cs="Times New Roman"/>
        </w:rPr>
        <w:t xml:space="preserve">conducted. </w:t>
      </w:r>
      <w:r w:rsidRPr="00BD4E37">
        <w:rPr>
          <w:rFonts w:ascii="Times New Roman" w:hAnsi="Times New Roman" w:cs="Times New Roman"/>
        </w:rPr>
        <w:t xml:space="preserve">Standard multiple regression was used to assess how much variance in </w:t>
      </w:r>
      <w:r>
        <w:rPr>
          <w:rFonts w:ascii="Times New Roman" w:hAnsi="Times New Roman" w:cs="Times New Roman"/>
        </w:rPr>
        <w:t>GLS</w:t>
      </w:r>
      <w:r w:rsidRPr="00BD4E37">
        <w:rPr>
          <w:rFonts w:ascii="Times New Roman" w:hAnsi="Times New Roman" w:cs="Times New Roman"/>
        </w:rPr>
        <w:t xml:space="preserve"> was accounted for by the PWI items and the relative strengths of each item in predicting GLS. Table 5 presents the results obtained from the multiple regressions.</w:t>
      </w:r>
    </w:p>
    <w:p w:rsidR="005430A2" w:rsidRPr="00BD4E37" w:rsidRDefault="005430A2" w:rsidP="005430A2">
      <w:pPr>
        <w:spacing w:line="360" w:lineRule="auto"/>
        <w:rPr>
          <w:rFonts w:ascii="Times New Roman" w:hAnsi="Times New Roman" w:cs="Times New Roman"/>
        </w:rPr>
      </w:pPr>
      <w:r w:rsidRPr="00BD4E37">
        <w:rPr>
          <w:rFonts w:ascii="Times New Roman" w:hAnsi="Times New Roman" w:cs="Times New Roman"/>
        </w:rPr>
        <w:t>Table 5</w:t>
      </w:r>
    </w:p>
    <w:p w:rsidR="005430A2" w:rsidRPr="00BD4E37" w:rsidRDefault="005430A2" w:rsidP="005430A2">
      <w:pPr>
        <w:spacing w:line="360" w:lineRule="auto"/>
        <w:rPr>
          <w:rFonts w:ascii="Times New Roman" w:hAnsi="Times New Roman" w:cs="Times New Roman"/>
          <w:i/>
        </w:rPr>
      </w:pPr>
      <w:r w:rsidRPr="00BD4E37">
        <w:rPr>
          <w:rFonts w:ascii="Times New Roman" w:hAnsi="Times New Roman" w:cs="Times New Roman"/>
          <w:i/>
        </w:rPr>
        <w:t>Regression of PWI items on life as a whole</w:t>
      </w:r>
    </w:p>
    <w:tbl>
      <w:tblPr>
        <w:tblW w:w="0" w:type="auto"/>
        <w:tblLayout w:type="fixed"/>
        <w:tblLook w:val="04A0" w:firstRow="1" w:lastRow="0" w:firstColumn="1" w:lastColumn="0" w:noHBand="0" w:noVBand="1"/>
      </w:tblPr>
      <w:tblGrid>
        <w:gridCol w:w="1838"/>
        <w:gridCol w:w="867"/>
        <w:gridCol w:w="867"/>
        <w:gridCol w:w="868"/>
        <w:gridCol w:w="867"/>
        <w:gridCol w:w="867"/>
        <w:gridCol w:w="868"/>
        <w:gridCol w:w="867"/>
        <w:gridCol w:w="868"/>
      </w:tblGrid>
      <w:tr w:rsidR="005430A2" w:rsidRPr="00BD4E37">
        <w:tc>
          <w:tcPr>
            <w:tcW w:w="1838" w:type="dxa"/>
            <w:tcBorders>
              <w:top w:val="single" w:sz="4" w:space="0" w:color="auto"/>
            </w:tcBorders>
          </w:tcPr>
          <w:p w:rsidR="005430A2" w:rsidRPr="00BD4E37" w:rsidRDefault="005430A2" w:rsidP="000A66D4">
            <w:pPr>
              <w:spacing w:line="360" w:lineRule="auto"/>
              <w:rPr>
                <w:rFonts w:ascii="Times New Roman" w:hAnsi="Times New Roman" w:cs="Times New Roman"/>
              </w:rPr>
            </w:pPr>
          </w:p>
        </w:tc>
        <w:tc>
          <w:tcPr>
            <w:tcW w:w="3469" w:type="dxa"/>
            <w:gridSpan w:val="4"/>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General-Specific</w:t>
            </w:r>
          </w:p>
        </w:tc>
        <w:tc>
          <w:tcPr>
            <w:tcW w:w="3470" w:type="dxa"/>
            <w:gridSpan w:val="4"/>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Specific-General</w:t>
            </w:r>
          </w:p>
        </w:tc>
      </w:tr>
      <w:tr w:rsidR="005430A2" w:rsidRPr="00BD4E37">
        <w:tc>
          <w:tcPr>
            <w:tcW w:w="1838" w:type="dxa"/>
            <w:tcBorders>
              <w:bottom w:val="single" w:sz="4" w:space="0" w:color="auto"/>
            </w:tcBorders>
          </w:tcPr>
          <w:p w:rsidR="005430A2" w:rsidRPr="00BD4E37" w:rsidRDefault="005430A2" w:rsidP="000A66D4">
            <w:pPr>
              <w:spacing w:line="360" w:lineRule="auto"/>
              <w:rPr>
                <w:rFonts w:ascii="Times New Roman" w:hAnsi="Times New Roman" w:cs="Times New Roman"/>
              </w:rPr>
            </w:pPr>
          </w:p>
        </w:tc>
        <w:tc>
          <w:tcPr>
            <w:tcW w:w="3469" w:type="dxa"/>
            <w:gridSpan w:val="4"/>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w:t>
            </w:r>
            <w:r w:rsidRPr="00BD4E37">
              <w:rPr>
                <w:rFonts w:ascii="Times New Roman" w:hAnsi="Times New Roman" w:cs="Times New Roman"/>
                <w:i/>
              </w:rPr>
              <w:t>n</w:t>
            </w:r>
            <w:r w:rsidRPr="00BD4E37">
              <w:rPr>
                <w:rFonts w:ascii="Times New Roman" w:hAnsi="Times New Roman" w:cs="Times New Roman"/>
              </w:rPr>
              <w:t>= 337)</w:t>
            </w:r>
          </w:p>
        </w:tc>
        <w:tc>
          <w:tcPr>
            <w:tcW w:w="3470" w:type="dxa"/>
            <w:gridSpan w:val="4"/>
            <w:tcBorders>
              <w:bottom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w:t>
            </w:r>
            <w:r w:rsidRPr="00BD4E37">
              <w:rPr>
                <w:rFonts w:ascii="Times New Roman" w:hAnsi="Times New Roman" w:cs="Times New Roman"/>
                <w:i/>
              </w:rPr>
              <w:t>n</w:t>
            </w:r>
            <w:r w:rsidRPr="00BD4E37">
              <w:rPr>
                <w:rFonts w:ascii="Times New Roman" w:hAnsi="Times New Roman" w:cs="Times New Roman"/>
              </w:rPr>
              <w:t>=316)</w:t>
            </w:r>
          </w:p>
        </w:tc>
      </w:tr>
      <w:tr w:rsidR="005430A2" w:rsidRPr="00BD4E37">
        <w:tc>
          <w:tcPr>
            <w:tcW w:w="1838" w:type="dxa"/>
            <w:tcBorders>
              <w:top w:val="single" w:sz="4" w:space="0" w:color="auto"/>
            </w:tcBorders>
          </w:tcPr>
          <w:p w:rsidR="005430A2" w:rsidRPr="00BD4E37" w:rsidRDefault="005430A2" w:rsidP="000A66D4">
            <w:pPr>
              <w:spacing w:line="360" w:lineRule="auto"/>
              <w:rPr>
                <w:rFonts w:ascii="Times New Roman" w:hAnsi="Times New Roman" w:cs="Times New Roman"/>
              </w:rPr>
            </w:pPr>
          </w:p>
        </w:tc>
        <w:tc>
          <w:tcPr>
            <w:tcW w:w="867"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B</w:t>
            </w:r>
          </w:p>
        </w:tc>
        <w:tc>
          <w:tcPr>
            <w:tcW w:w="867"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SE B</w:t>
            </w:r>
          </w:p>
        </w:tc>
        <w:tc>
          <w:tcPr>
            <w:tcW w:w="868"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iCs/>
              </w:rPr>
              <w:sym w:font="Symbol" w:char="F062"/>
            </w:r>
          </w:p>
        </w:tc>
        <w:tc>
          <w:tcPr>
            <w:tcW w:w="867" w:type="dxa"/>
            <w:tcBorders>
              <w:top w:val="single" w:sz="4" w:space="0" w:color="auto"/>
            </w:tcBorders>
          </w:tcPr>
          <w:p w:rsidR="005430A2" w:rsidRPr="00BD4E37" w:rsidRDefault="00FF5EDE" w:rsidP="000A66D4">
            <w:pPr>
              <w:spacing w:line="360" w:lineRule="auto"/>
              <w:jc w:val="center"/>
              <w:rPr>
                <w:rFonts w:ascii="Times New Roman" w:hAnsi="Times New Roman" w:cs="Times New Roman"/>
              </w:rPr>
            </w:pPr>
            <m:oMathPara>
              <m:oMath>
                <m:sSup>
                  <m:sSupPr>
                    <m:ctrlPr>
                      <w:rPr>
                        <w:rFonts w:ascii="Cambria Math" w:hAnsi="Cambria Math" w:cs="Times New Roman"/>
                        <w:i/>
                      </w:rPr>
                    </m:ctrlPr>
                  </m:sSupPr>
                  <m:e>
                    <m:r>
                      <w:rPr>
                        <w:rFonts w:ascii="STIXGeneral-Regular" w:hAnsi="STIXGeneral-Regular" w:cs="STIXGeneral-Regular"/>
                      </w:rPr>
                      <m:t>sr</m:t>
                    </m:r>
                  </m:e>
                  <m:sup>
                    <m:r>
                      <w:rPr>
                        <w:rFonts w:ascii="Cambria Math" w:hAnsi="Cambria Math" w:cs="Times New Roman"/>
                      </w:rPr>
                      <m:t>2</m:t>
                    </m:r>
                  </m:sup>
                </m:sSup>
              </m:oMath>
            </m:oMathPara>
          </w:p>
        </w:tc>
        <w:tc>
          <w:tcPr>
            <w:tcW w:w="867"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B</w:t>
            </w:r>
          </w:p>
        </w:tc>
        <w:tc>
          <w:tcPr>
            <w:tcW w:w="868"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SE B</w:t>
            </w:r>
          </w:p>
        </w:tc>
        <w:tc>
          <w:tcPr>
            <w:tcW w:w="867" w:type="dxa"/>
            <w:tcBorders>
              <w:top w:val="single" w:sz="4" w:space="0" w:color="auto"/>
            </w:tcBorders>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iCs/>
              </w:rPr>
              <w:sym w:font="Symbol" w:char="F062"/>
            </w:r>
          </w:p>
        </w:tc>
        <w:tc>
          <w:tcPr>
            <w:tcW w:w="868" w:type="dxa"/>
            <w:tcBorders>
              <w:top w:val="single" w:sz="4" w:space="0" w:color="auto"/>
            </w:tcBorders>
          </w:tcPr>
          <w:p w:rsidR="005430A2" w:rsidRPr="00BD4E37" w:rsidRDefault="00FF5EDE" w:rsidP="000A66D4">
            <w:pPr>
              <w:spacing w:line="360" w:lineRule="auto"/>
              <w:jc w:val="center"/>
              <w:rPr>
                <w:rFonts w:ascii="Times New Roman" w:hAnsi="Times New Roman" w:cs="Times New Roman"/>
              </w:rPr>
            </w:pPr>
            <m:oMathPara>
              <m:oMath>
                <m:sSup>
                  <m:sSupPr>
                    <m:ctrlPr>
                      <w:rPr>
                        <w:rFonts w:ascii="Cambria Math" w:hAnsi="Cambria Math" w:cs="Times New Roman"/>
                        <w:i/>
                      </w:rPr>
                    </m:ctrlPr>
                  </m:sSupPr>
                  <m:e>
                    <m:r>
                      <w:rPr>
                        <w:rFonts w:ascii="STIXGeneral-Regular" w:hAnsi="STIXGeneral-Regular" w:cs="STIXGeneral-Regular"/>
                      </w:rPr>
                      <m:t>sr</m:t>
                    </m:r>
                  </m:e>
                  <m:sup>
                    <m:r>
                      <w:rPr>
                        <w:rFonts w:ascii="Cambria Math" w:hAnsi="Cambria Math" w:cs="Times New Roman"/>
                      </w:rPr>
                      <m:t>2</m:t>
                    </m:r>
                  </m:sup>
                </m:sSup>
              </m:oMath>
            </m:oMathPara>
          </w:p>
        </w:tc>
      </w:tr>
      <w:tr w:rsidR="005430A2" w:rsidRPr="00BD4E37">
        <w:tc>
          <w:tcPr>
            <w:tcW w:w="1838" w:type="dxa"/>
          </w:tcPr>
          <w:p w:rsidR="005430A2" w:rsidRPr="00BD4E37" w:rsidRDefault="005430A2" w:rsidP="000A66D4">
            <w:pPr>
              <w:spacing w:line="360" w:lineRule="auto"/>
              <w:rPr>
                <w:rFonts w:ascii="Times New Roman" w:hAnsi="Times New Roman" w:cs="Times New Roman"/>
              </w:rPr>
            </w:pPr>
            <w:r>
              <w:rPr>
                <w:rFonts w:ascii="Times New Roman" w:hAnsi="Times New Roman" w:cs="Times New Roman"/>
              </w:rPr>
              <w:t>Std</w:t>
            </w:r>
            <w:r w:rsidRPr="00BD4E37">
              <w:rPr>
                <w:rFonts w:ascii="Times New Roman" w:hAnsi="Times New Roman" w:cs="Times New Roman"/>
              </w:rPr>
              <w:t xml:space="preserve"> of Living</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.17**</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.04</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.19</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.03</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.14**</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.04</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.14</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.01</w:t>
            </w:r>
          </w:p>
        </w:tc>
      </w:tr>
      <w:tr w:rsidR="005430A2" w:rsidRPr="00BD4E37">
        <w:tc>
          <w:tcPr>
            <w:tcW w:w="1838"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Health</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.10**</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.03</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.13</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.01</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.08*</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.03</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.09</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.00</w:t>
            </w:r>
          </w:p>
        </w:tc>
      </w:tr>
      <w:tr w:rsidR="005430A2" w:rsidRPr="00BD4E37">
        <w:tc>
          <w:tcPr>
            <w:tcW w:w="1838"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Achieving</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.25**</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.04</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.30</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.06</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.31**</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.04</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.34</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.06</w:t>
            </w:r>
          </w:p>
        </w:tc>
      </w:tr>
      <w:tr w:rsidR="005430A2" w:rsidRPr="00BD4E37">
        <w:tc>
          <w:tcPr>
            <w:tcW w:w="1838"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Relationships</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.23**</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.03</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.32</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.08</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.23**</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.03</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.27</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.04</w:t>
            </w:r>
          </w:p>
        </w:tc>
      </w:tr>
      <w:tr w:rsidR="005430A2" w:rsidRPr="00BD4E37">
        <w:tc>
          <w:tcPr>
            <w:tcW w:w="1838"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Safety</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-.14**</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.04</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-.16</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.02</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.11**</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.04</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.12</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.01</w:t>
            </w:r>
          </w:p>
        </w:tc>
      </w:tr>
      <w:tr w:rsidR="005430A2" w:rsidRPr="00BD4E37">
        <w:tc>
          <w:tcPr>
            <w:tcW w:w="1838"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Community</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.05</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.03</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.07</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.00</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.10**</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.03</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.11</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.01</w:t>
            </w:r>
          </w:p>
        </w:tc>
      </w:tr>
      <w:tr w:rsidR="005430A2" w:rsidRPr="00BD4E37">
        <w:tc>
          <w:tcPr>
            <w:tcW w:w="1838" w:type="dxa"/>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Future Security</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.14**</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.04</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.20</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.02</w:t>
            </w:r>
          </w:p>
        </w:tc>
        <w:tc>
          <w:tcPr>
            <w:tcW w:w="867" w:type="dxa"/>
          </w:tcPr>
          <w:p w:rsidR="005430A2" w:rsidRPr="00BD4E37" w:rsidRDefault="005430A2" w:rsidP="000A66D4">
            <w:pPr>
              <w:spacing w:line="360" w:lineRule="auto"/>
              <w:jc w:val="center"/>
              <w:rPr>
                <w:rFonts w:ascii="Times New Roman" w:hAnsi="Times New Roman" w:cs="Times New Roman"/>
              </w:rPr>
            </w:pPr>
            <w:r>
              <w:rPr>
                <w:rFonts w:ascii="Times New Roman" w:hAnsi="Times New Roman" w:cs="Times New Roman"/>
              </w:rPr>
              <w:t>.07*</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.03</w:t>
            </w:r>
          </w:p>
        </w:tc>
        <w:tc>
          <w:tcPr>
            <w:tcW w:w="867"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.09</w:t>
            </w:r>
          </w:p>
        </w:tc>
        <w:tc>
          <w:tcPr>
            <w:tcW w:w="868" w:type="dxa"/>
          </w:tcPr>
          <w:p w:rsidR="005430A2" w:rsidRPr="00BD4E37" w:rsidRDefault="005430A2" w:rsidP="000A66D4">
            <w:pPr>
              <w:spacing w:line="360" w:lineRule="auto"/>
              <w:jc w:val="center"/>
              <w:rPr>
                <w:rFonts w:ascii="Times New Roman" w:hAnsi="Times New Roman" w:cs="Times New Roman"/>
              </w:rPr>
            </w:pPr>
            <w:r w:rsidRPr="00BD4E37">
              <w:rPr>
                <w:rFonts w:ascii="Times New Roman" w:hAnsi="Times New Roman" w:cs="Times New Roman"/>
              </w:rPr>
              <w:t>.00</w:t>
            </w:r>
          </w:p>
        </w:tc>
      </w:tr>
      <w:tr w:rsidR="005430A2" w:rsidRPr="00BD4E37">
        <w:tc>
          <w:tcPr>
            <w:tcW w:w="1838" w:type="dxa"/>
            <w:tcBorders>
              <w:bottom w:val="single" w:sz="4" w:space="0" w:color="auto"/>
            </w:tcBorders>
          </w:tcPr>
          <w:p w:rsidR="005430A2" w:rsidRPr="00BD4E37" w:rsidRDefault="005430A2" w:rsidP="000A66D4">
            <w:pPr>
              <w:spacing w:line="360" w:lineRule="auto"/>
              <w:rPr>
                <w:rFonts w:ascii="Times New Roman" w:hAnsi="Times New Roman" w:cs="Times New Roman"/>
              </w:rPr>
            </w:pPr>
          </w:p>
        </w:tc>
        <w:tc>
          <w:tcPr>
            <w:tcW w:w="3469" w:type="dxa"/>
            <w:gridSpan w:val="4"/>
            <w:tcBorders>
              <w:bottom w:val="single" w:sz="4" w:space="0" w:color="auto"/>
            </w:tcBorders>
          </w:tcPr>
          <w:p w:rsidR="005430A2" w:rsidRPr="00BD4E37" w:rsidRDefault="00FF5EDE" w:rsidP="000A66D4">
            <w:pPr>
              <w:spacing w:line="360" w:lineRule="auto"/>
              <w:jc w:val="center"/>
              <w:rPr>
                <w:rFonts w:ascii="Times New Roman" w:hAnsi="Times New Roman" w:cs="Times New Roman"/>
              </w:rPr>
            </w:pPr>
            <m:oMath>
              <m:sSup>
                <m:sSupPr>
                  <m:ctrlPr>
                    <w:rPr>
                      <w:rFonts w:ascii="Cambria Math" w:hAnsi="Cambria Math" w:cs="Times New Roman"/>
                      <w:i/>
                    </w:rPr>
                  </m:ctrlPr>
                </m:sSupPr>
                <m:e>
                  <m:r>
                    <w:rPr>
                      <w:rFonts w:ascii="STIXGeneral-Regular" w:hAnsi="STIXGeneral-Regular" w:cs="STIXGeneral-Regular"/>
                    </w:rPr>
                    <m:t>R</m:t>
                  </m:r>
                </m:e>
                <m:sup>
                  <m:r>
                    <w:rPr>
                      <w:rFonts w:ascii="Cambria Math" w:hAnsi="Cambria Math" w:cs="Times New Roman"/>
                      <w:vertAlign w:val="superscript"/>
                    </w:rPr>
                    <m:t>2</m:t>
                  </m:r>
                  <m:ctrlPr>
                    <w:rPr>
                      <w:rFonts w:ascii="Cambria Math" w:hAnsi="Cambria Math" w:cs="Times New Roman"/>
                      <w:i/>
                      <w:vertAlign w:val="superscript"/>
                    </w:rPr>
                  </m:ctrlPr>
                </m:sup>
              </m:sSup>
            </m:oMath>
            <w:r w:rsidR="005430A2" w:rsidRPr="00BD4E37">
              <w:rPr>
                <w:rFonts w:ascii="Times New Roman" w:hAnsi="Times New Roman" w:cs="Times New Roman"/>
              </w:rPr>
              <w:t xml:space="preserve">= .57 Adjusted </w:t>
            </w:r>
            <m:oMath>
              <m:sSup>
                <m:sSupPr>
                  <m:ctrlPr>
                    <w:rPr>
                      <w:rFonts w:ascii="Cambria Math" w:hAnsi="Cambria Math" w:cs="Times New Roman"/>
                      <w:i/>
                    </w:rPr>
                  </m:ctrlPr>
                </m:sSupPr>
                <m:e>
                  <m:r>
                    <w:rPr>
                      <w:rFonts w:ascii="STIXGeneral-Regular" w:hAnsi="STIXGeneral-Regular" w:cs="STIXGeneral-Regular"/>
                    </w:rPr>
                    <m:t>R</m:t>
                  </m:r>
                </m:e>
                <m:sup>
                  <m:r>
                    <w:rPr>
                      <w:rFonts w:ascii="Cambria Math" w:hAnsi="Cambria Math" w:cs="Times New Roman"/>
                    </w:rPr>
                    <m:t>2</m:t>
                  </m:r>
                </m:sup>
              </m:sSup>
            </m:oMath>
            <w:r w:rsidR="005430A2" w:rsidRPr="00BD4E37">
              <w:rPr>
                <w:rFonts w:ascii="Times New Roman" w:hAnsi="Times New Roman" w:cs="Times New Roman"/>
              </w:rPr>
              <w:t>=.56</w:t>
            </w:r>
          </w:p>
        </w:tc>
        <w:tc>
          <w:tcPr>
            <w:tcW w:w="3470" w:type="dxa"/>
            <w:gridSpan w:val="4"/>
            <w:tcBorders>
              <w:bottom w:val="single" w:sz="4" w:space="0" w:color="auto"/>
            </w:tcBorders>
          </w:tcPr>
          <w:p w:rsidR="005430A2" w:rsidRPr="00BD4E37" w:rsidRDefault="00FF5EDE" w:rsidP="000A66D4">
            <w:pPr>
              <w:spacing w:line="360" w:lineRule="auto"/>
              <w:jc w:val="center"/>
              <w:rPr>
                <w:rFonts w:ascii="Times New Roman" w:hAnsi="Times New Roman" w:cs="Times New Roman"/>
              </w:rPr>
            </w:pPr>
            <m:oMath>
              <m:sSup>
                <m:sSupPr>
                  <m:ctrlPr>
                    <w:rPr>
                      <w:rFonts w:ascii="Cambria Math" w:hAnsi="Cambria Math" w:cs="Times New Roman"/>
                      <w:i/>
                    </w:rPr>
                  </m:ctrlPr>
                </m:sSupPr>
                <m:e>
                  <m:r>
                    <w:rPr>
                      <w:rFonts w:ascii="STIXGeneral-Regular" w:hAnsi="STIXGeneral-Regular" w:cs="STIXGeneral-Regular"/>
                    </w:rPr>
                    <m:t>R</m:t>
                  </m:r>
                </m:e>
                <m:sup>
                  <m:r>
                    <w:rPr>
                      <w:rFonts w:ascii="Cambria Math" w:hAnsi="Cambria Math" w:cs="Times New Roman"/>
                    </w:rPr>
                    <m:t>2</m:t>
                  </m:r>
                </m:sup>
              </m:sSup>
            </m:oMath>
            <w:r w:rsidR="005430A2" w:rsidRPr="00BD4E37">
              <w:rPr>
                <w:rFonts w:ascii="Times New Roman" w:hAnsi="Times New Roman" w:cs="Times New Roman"/>
              </w:rPr>
              <w:t xml:space="preserve">= .78 Adjusted </w:t>
            </w:r>
            <m:oMath>
              <m:sSup>
                <m:sSupPr>
                  <m:ctrlPr>
                    <w:rPr>
                      <w:rFonts w:ascii="Cambria Math" w:hAnsi="Cambria Math" w:cs="Times New Roman"/>
                      <w:i/>
                    </w:rPr>
                  </m:ctrlPr>
                </m:sSupPr>
                <m:e>
                  <m:r>
                    <w:rPr>
                      <w:rFonts w:ascii="STIXGeneral-Regular" w:hAnsi="STIXGeneral-Regular" w:cs="STIXGeneral-Regular"/>
                    </w:rPr>
                    <m:t>R</m:t>
                  </m:r>
                </m:e>
                <m:sup>
                  <m:r>
                    <w:rPr>
                      <w:rFonts w:ascii="Cambria Math" w:hAnsi="Cambria Math" w:cs="Times New Roman"/>
                    </w:rPr>
                    <m:t>2</m:t>
                  </m:r>
                </m:sup>
              </m:sSup>
            </m:oMath>
            <w:r w:rsidR="005430A2" w:rsidRPr="00BD4E37">
              <w:rPr>
                <w:rFonts w:ascii="Times New Roman" w:hAnsi="Times New Roman" w:cs="Times New Roman"/>
              </w:rPr>
              <w:t>= .77</w:t>
            </w:r>
          </w:p>
        </w:tc>
      </w:tr>
    </w:tbl>
    <w:p w:rsidR="005430A2" w:rsidRPr="00BD4E37" w:rsidRDefault="005430A2" w:rsidP="005430A2">
      <w:pPr>
        <w:spacing w:line="360" w:lineRule="auto"/>
        <w:rPr>
          <w:rFonts w:ascii="Times New Roman" w:hAnsi="Times New Roman" w:cs="Times New Roman"/>
        </w:rPr>
      </w:pPr>
      <w:r>
        <w:rPr>
          <w:rFonts w:ascii="Times New Roman" w:hAnsi="Times New Roman" w:cs="Times New Roman"/>
        </w:rPr>
        <w:t xml:space="preserve">** </w:t>
      </w:r>
      <w:r w:rsidRPr="00BD4E37">
        <w:rPr>
          <w:rFonts w:ascii="Times New Roman" w:hAnsi="Times New Roman" w:cs="Times New Roman"/>
          <w:i/>
        </w:rPr>
        <w:t>p</w:t>
      </w:r>
      <w:r w:rsidRPr="00BD4E37">
        <w:rPr>
          <w:rFonts w:ascii="Times New Roman" w:hAnsi="Times New Roman" w:cs="Times New Roman"/>
        </w:rPr>
        <w:t>&lt;</w:t>
      </w:r>
      <w:r>
        <w:rPr>
          <w:rFonts w:ascii="Times New Roman" w:hAnsi="Times New Roman" w:cs="Times New Roman"/>
        </w:rPr>
        <w:t>.01; *</w:t>
      </w:r>
      <w:r w:rsidRPr="001366C9">
        <w:rPr>
          <w:rFonts w:ascii="Times New Roman" w:hAnsi="Times New Roman" w:cs="Times New Roman"/>
          <w:i/>
        </w:rPr>
        <w:t>p</w:t>
      </w:r>
      <w:r>
        <w:rPr>
          <w:rFonts w:ascii="Times New Roman" w:hAnsi="Times New Roman" w:cs="Times New Roman"/>
        </w:rPr>
        <w:t>&lt;.05</w:t>
      </w:r>
    </w:p>
    <w:p w:rsidR="005430A2" w:rsidRPr="00C438A7" w:rsidRDefault="005430A2" w:rsidP="005430A2">
      <w:pPr>
        <w:tabs>
          <w:tab w:val="left" w:pos="8647"/>
        </w:tabs>
        <w:spacing w:before="240" w:line="360" w:lineRule="auto"/>
        <w:ind w:firstLine="720"/>
        <w:rPr>
          <w:rFonts w:ascii="Times New Roman" w:hAnsi="Times New Roman" w:cs="Times New Roman"/>
          <w:color w:val="FF0000"/>
        </w:rPr>
      </w:pPr>
      <w:r w:rsidRPr="00BD4E37">
        <w:rPr>
          <w:rFonts w:ascii="Times New Roman" w:hAnsi="Times New Roman" w:cs="Times New Roman"/>
        </w:rPr>
        <w:t>These analyses revealed that in the general-</w:t>
      </w:r>
      <w:r>
        <w:rPr>
          <w:rFonts w:ascii="Times New Roman" w:hAnsi="Times New Roman" w:cs="Times New Roman"/>
        </w:rPr>
        <w:t xml:space="preserve">specific condition, the domains </w:t>
      </w:r>
      <w:r w:rsidRPr="00BD4E37">
        <w:rPr>
          <w:rFonts w:ascii="Times New Roman" w:hAnsi="Times New Roman" w:cs="Times New Roman"/>
        </w:rPr>
        <w:t xml:space="preserve">explained 57.2 percent of the variance in GLS overall, while in the specific-general condition, the PWI domains together explained 77.6 percent of the variance in GLS. For the general-specific condition, all domains except for community-connectedness provided significant unique variance to life as a whole at the </w:t>
      </w:r>
      <w:r w:rsidRPr="00BD4E37">
        <w:rPr>
          <w:rFonts w:ascii="Times New Roman" w:hAnsi="Times New Roman" w:cs="Times New Roman"/>
          <w:i/>
        </w:rPr>
        <w:t>p</w:t>
      </w:r>
      <w:r w:rsidRPr="00BD4E37">
        <w:rPr>
          <w:rFonts w:ascii="Times New Roman" w:hAnsi="Times New Roman" w:cs="Times New Roman"/>
        </w:rPr>
        <w:t xml:space="preserve">&lt;.01 level. For the specific-general condition, all domains were significant individual predictors at the </w:t>
      </w:r>
      <w:r w:rsidRPr="00BD4E37">
        <w:rPr>
          <w:rFonts w:ascii="Times New Roman" w:hAnsi="Times New Roman" w:cs="Times New Roman"/>
          <w:i/>
        </w:rPr>
        <w:t>p</w:t>
      </w:r>
      <w:r>
        <w:rPr>
          <w:rFonts w:ascii="Times New Roman" w:hAnsi="Times New Roman" w:cs="Times New Roman"/>
        </w:rPr>
        <w:t xml:space="preserve">&lt;.01 level, </w:t>
      </w:r>
      <w:r w:rsidRPr="00BD4E37">
        <w:rPr>
          <w:rFonts w:ascii="Times New Roman" w:hAnsi="Times New Roman" w:cs="Times New Roman"/>
        </w:rPr>
        <w:t>with</w:t>
      </w:r>
      <w:r>
        <w:rPr>
          <w:rFonts w:ascii="Times New Roman" w:hAnsi="Times New Roman" w:cs="Times New Roman"/>
        </w:rPr>
        <w:t xml:space="preserve"> the exception of</w:t>
      </w:r>
      <w:r w:rsidRPr="00BD4E37">
        <w:rPr>
          <w:rFonts w:ascii="Times New Roman" w:hAnsi="Times New Roman" w:cs="Times New Roman"/>
        </w:rPr>
        <w:t xml:space="preserve"> health</w:t>
      </w:r>
      <w:r>
        <w:rPr>
          <w:rFonts w:ascii="Times New Roman" w:hAnsi="Times New Roman" w:cs="Times New Roman"/>
        </w:rPr>
        <w:t xml:space="preserve"> and future security</w:t>
      </w:r>
      <w:r w:rsidRPr="00BD4E37">
        <w:rPr>
          <w:rFonts w:ascii="Times New Roman" w:hAnsi="Times New Roman" w:cs="Times New Roman"/>
        </w:rPr>
        <w:t xml:space="preserve"> providing significant unique variance at the </w:t>
      </w:r>
      <w:r w:rsidRPr="00BD4E37">
        <w:rPr>
          <w:rFonts w:ascii="Times New Roman" w:hAnsi="Times New Roman" w:cs="Times New Roman"/>
          <w:i/>
        </w:rPr>
        <w:t>p</w:t>
      </w:r>
      <w:r>
        <w:rPr>
          <w:rFonts w:ascii="Times New Roman" w:hAnsi="Times New Roman" w:cs="Times New Roman"/>
        </w:rPr>
        <w:t>&lt;.05</w:t>
      </w:r>
      <w:r w:rsidRPr="00BD4E37">
        <w:rPr>
          <w:rFonts w:ascii="Times New Roman" w:hAnsi="Times New Roman" w:cs="Times New Roman"/>
        </w:rPr>
        <w:t xml:space="preserve"> level. In both conditions, the domains of standard of living, achieving in life and personal relationships made the strongest contribution to life as a whole.</w:t>
      </w:r>
    </w:p>
    <w:p w:rsidR="005430A2" w:rsidRPr="00BD4E37" w:rsidRDefault="005430A2" w:rsidP="005430A2">
      <w:pPr>
        <w:tabs>
          <w:tab w:val="left" w:pos="8647"/>
        </w:tabs>
        <w:spacing w:before="240" w:line="360" w:lineRule="auto"/>
        <w:ind w:firstLine="720"/>
        <w:rPr>
          <w:rFonts w:ascii="Times New Roman" w:hAnsi="Times New Roman" w:cs="Times New Roman"/>
        </w:rPr>
      </w:pPr>
      <w:r w:rsidRPr="00BD4E37">
        <w:rPr>
          <w:rFonts w:ascii="Times New Roman" w:hAnsi="Times New Roman" w:cs="Times New Roman"/>
        </w:rPr>
        <w:t>The results of the regression also reveal that the domain of safety was suppressed in the general-specific condition. Based on the bivariate correlations, it is likely that it was supressed by the domain of future security.</w:t>
      </w:r>
    </w:p>
    <w:p w:rsidR="005430A2" w:rsidRPr="00BD4E37" w:rsidRDefault="005430A2" w:rsidP="005430A2">
      <w:pPr>
        <w:tabs>
          <w:tab w:val="left" w:pos="8647"/>
        </w:tabs>
        <w:spacing w:before="240" w:line="360" w:lineRule="auto"/>
        <w:rPr>
          <w:rFonts w:ascii="Times New Roman" w:hAnsi="Times New Roman" w:cs="Times New Roman"/>
          <w:b/>
        </w:rPr>
      </w:pPr>
      <w:r>
        <w:rPr>
          <w:rFonts w:ascii="Times New Roman" w:hAnsi="Times New Roman" w:cs="Times New Roman"/>
          <w:b/>
        </w:rPr>
        <w:t>3.6</w:t>
      </w:r>
      <w:r w:rsidRPr="00BD4E37">
        <w:rPr>
          <w:rFonts w:ascii="Times New Roman" w:hAnsi="Times New Roman" w:cs="Times New Roman"/>
          <w:b/>
        </w:rPr>
        <w:t xml:space="preserve"> Exploratory Analyses</w:t>
      </w:r>
    </w:p>
    <w:p w:rsidR="005430A2" w:rsidRPr="00BD4E37" w:rsidRDefault="005430A2" w:rsidP="005430A2">
      <w:pPr>
        <w:spacing w:before="240" w:line="360" w:lineRule="auto"/>
        <w:rPr>
          <w:rFonts w:ascii="Times New Roman" w:hAnsi="Times New Roman" w:cs="Times New Roman"/>
        </w:rPr>
      </w:pPr>
      <w:r w:rsidRPr="00BD4E37">
        <w:rPr>
          <w:rFonts w:ascii="Times New Roman" w:hAnsi="Times New Roman" w:cs="Times New Roman"/>
        </w:rPr>
        <w:tab/>
        <w:t>Having addressed all the hypotheses, further validation of the factor structure of the PWI in each condition was sought. Separate confirmatory factor analyses were conducted for each condition. The model tested is presented in Figure 1.</w:t>
      </w:r>
    </w:p>
    <w:p w:rsidR="005430A2" w:rsidRPr="00BD4E37" w:rsidRDefault="00FF5EDE" w:rsidP="005430A2">
      <w:pPr>
        <w:spacing w:line="360" w:lineRule="auto"/>
        <w:rPr>
          <w:rFonts w:ascii="Times New Roman" w:hAnsi="Times New Roman" w:cs="Times New Roman"/>
          <w:b/>
        </w:rPr>
      </w:pPr>
      <w:r>
        <w:rPr>
          <w:rFonts w:ascii="Times New Roman" w:hAnsi="Times New Roman" w:cs="Times New Roman"/>
          <w:noProof/>
          <w:lang w:val="en-AU" w:eastAsia="en-AU"/>
        </w:rPr>
        <mc:AlternateContent>
          <mc:Choice Requires="wpc">
            <w:drawing>
              <wp:inline distT="0" distB="0" distL="0" distR="0">
                <wp:extent cx="5486400" cy="3200400"/>
                <wp:effectExtent l="0" t="0" r="0" b="0"/>
                <wp:docPr id="32" name="Canvas 10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 name="Text Box 64"/>
                        <wps:cNvSpPr txBox="1">
                          <a:spLocks noChangeArrowheads="1"/>
                        </wps:cNvSpPr>
                        <wps:spPr bwMode="auto">
                          <a:xfrm>
                            <a:off x="2293600" y="102800"/>
                            <a:ext cx="1400100" cy="2857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D37EA1" w:rsidRPr="007162E8" w:rsidRDefault="00D37EA1" w:rsidP="005430A2">
                              <w:pPr>
                                <w:jc w:val="center"/>
                                <w:rPr>
                                  <w:rFonts w:ascii="Times New Roman" w:hAnsi="Times New Roman" w:cs="Times New Roman"/>
                                </w:rPr>
                              </w:pPr>
                              <w:r w:rsidRPr="007162E8">
                                <w:rPr>
                                  <w:rFonts w:ascii="Times New Roman" w:hAnsi="Times New Roman" w:cs="Times New Roman"/>
                                </w:rPr>
                                <w:t>Standard of Living</w:t>
                              </w:r>
                            </w:p>
                          </w:txbxContent>
                        </wps:txbx>
                        <wps:bodyPr rot="0" vert="horz" wrap="square" lIns="91440" tIns="45720" rIns="91440" bIns="45720" anchor="t" anchorCtr="0" upright="1">
                          <a:noAutofit/>
                        </wps:bodyPr>
                      </wps:wsp>
                      <wps:wsp>
                        <wps:cNvPr id="8" name="Text Box 2"/>
                        <wps:cNvSpPr txBox="1">
                          <a:spLocks noChangeArrowheads="1"/>
                        </wps:cNvSpPr>
                        <wps:spPr bwMode="auto">
                          <a:xfrm>
                            <a:off x="2293600" y="541900"/>
                            <a:ext cx="1400100" cy="2858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D37EA1" w:rsidRDefault="00D37EA1" w:rsidP="005430A2">
                              <w:pPr>
                                <w:pStyle w:val="NormalWeb"/>
                                <w:spacing w:before="0" w:beforeAutospacing="0" w:after="160" w:afterAutospacing="0" w:line="256" w:lineRule="auto"/>
                                <w:jc w:val="center"/>
                              </w:pPr>
                              <w:r>
                                <w:rPr>
                                  <w:rFonts w:eastAsia="Calibri"/>
                                </w:rPr>
                                <w:t>Health</w:t>
                              </w:r>
                            </w:p>
                          </w:txbxContent>
                        </wps:txbx>
                        <wps:bodyPr rot="0" vert="horz" wrap="square" lIns="91440" tIns="45720" rIns="91440" bIns="45720" anchor="t" anchorCtr="0" upright="1">
                          <a:noAutofit/>
                        </wps:bodyPr>
                      </wps:wsp>
                      <wps:wsp>
                        <wps:cNvPr id="9" name="Text Box 2"/>
                        <wps:cNvSpPr txBox="1">
                          <a:spLocks noChangeArrowheads="1"/>
                        </wps:cNvSpPr>
                        <wps:spPr bwMode="auto">
                          <a:xfrm>
                            <a:off x="2293600" y="951500"/>
                            <a:ext cx="1400100" cy="2857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D37EA1" w:rsidRDefault="00D37EA1" w:rsidP="005430A2">
                              <w:pPr>
                                <w:pStyle w:val="NormalWeb"/>
                                <w:spacing w:before="0" w:beforeAutospacing="0" w:after="160" w:afterAutospacing="0" w:line="256" w:lineRule="auto"/>
                                <w:jc w:val="center"/>
                              </w:pPr>
                              <w:r>
                                <w:rPr>
                                  <w:rFonts w:eastAsia="Calibri"/>
                                </w:rPr>
                                <w:t>Achieving</w:t>
                              </w:r>
                            </w:p>
                          </w:txbxContent>
                        </wps:txbx>
                        <wps:bodyPr rot="0" vert="horz" wrap="square" lIns="91440" tIns="45720" rIns="91440" bIns="45720" anchor="t" anchorCtr="0" upright="1">
                          <a:noAutofit/>
                        </wps:bodyPr>
                      </wps:wsp>
                      <wps:wsp>
                        <wps:cNvPr id="10" name="Text Box 2"/>
                        <wps:cNvSpPr txBox="1">
                          <a:spLocks noChangeArrowheads="1"/>
                        </wps:cNvSpPr>
                        <wps:spPr bwMode="auto">
                          <a:xfrm>
                            <a:off x="2293600" y="1882700"/>
                            <a:ext cx="1400100" cy="2857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D37EA1" w:rsidRDefault="00D37EA1" w:rsidP="005430A2">
                              <w:pPr>
                                <w:pStyle w:val="NormalWeb"/>
                                <w:spacing w:before="0" w:beforeAutospacing="0" w:after="160" w:afterAutospacing="0" w:line="256" w:lineRule="auto"/>
                                <w:jc w:val="center"/>
                              </w:pPr>
                              <w:r>
                                <w:rPr>
                                  <w:rFonts w:eastAsia="Calibri"/>
                                </w:rPr>
                                <w:t>Safety</w:t>
                              </w:r>
                            </w:p>
                          </w:txbxContent>
                        </wps:txbx>
                        <wps:bodyPr rot="0" vert="horz" wrap="square" lIns="91440" tIns="45720" rIns="91440" bIns="45720" anchor="t" anchorCtr="0" upright="1">
                          <a:noAutofit/>
                        </wps:bodyPr>
                      </wps:wsp>
                      <wps:wsp>
                        <wps:cNvPr id="11" name="Text Box 2"/>
                        <wps:cNvSpPr txBox="1">
                          <a:spLocks noChangeArrowheads="1"/>
                        </wps:cNvSpPr>
                        <wps:spPr bwMode="auto">
                          <a:xfrm>
                            <a:off x="2293600" y="1417200"/>
                            <a:ext cx="1400100" cy="2858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D37EA1" w:rsidRDefault="00D37EA1" w:rsidP="005430A2">
                              <w:pPr>
                                <w:pStyle w:val="NormalWeb"/>
                                <w:spacing w:before="0" w:beforeAutospacing="0" w:after="160" w:afterAutospacing="0" w:line="256" w:lineRule="auto"/>
                                <w:jc w:val="center"/>
                              </w:pPr>
                              <w:r>
                                <w:rPr>
                                  <w:rFonts w:eastAsia="Calibri"/>
                                </w:rPr>
                                <w:t>Relationships</w:t>
                              </w:r>
                            </w:p>
                          </w:txbxContent>
                        </wps:txbx>
                        <wps:bodyPr rot="0" vert="horz" wrap="square" lIns="91440" tIns="45720" rIns="91440" bIns="45720" anchor="t" anchorCtr="0" upright="1">
                          <a:noAutofit/>
                        </wps:bodyPr>
                      </wps:wsp>
                      <wps:wsp>
                        <wps:cNvPr id="12" name="Text Box 2"/>
                        <wps:cNvSpPr txBox="1">
                          <a:spLocks noChangeArrowheads="1"/>
                        </wps:cNvSpPr>
                        <wps:spPr bwMode="auto">
                          <a:xfrm>
                            <a:off x="2293600" y="2350700"/>
                            <a:ext cx="1400100" cy="2857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D37EA1" w:rsidRDefault="00D37EA1" w:rsidP="005430A2">
                              <w:pPr>
                                <w:pStyle w:val="NormalWeb"/>
                                <w:spacing w:before="0" w:beforeAutospacing="0" w:after="160" w:afterAutospacing="0" w:line="256" w:lineRule="auto"/>
                                <w:jc w:val="center"/>
                              </w:pPr>
                              <w:r>
                                <w:rPr>
                                  <w:rFonts w:eastAsia="Calibri"/>
                                </w:rPr>
                                <w:t>Community</w:t>
                              </w:r>
                            </w:p>
                          </w:txbxContent>
                        </wps:txbx>
                        <wps:bodyPr rot="0" vert="horz" wrap="square" lIns="91440" tIns="45720" rIns="91440" bIns="45720" anchor="t" anchorCtr="0" upright="1">
                          <a:noAutofit/>
                        </wps:bodyPr>
                      </wps:wsp>
                      <wps:wsp>
                        <wps:cNvPr id="13" name="Text Box 2"/>
                        <wps:cNvSpPr txBox="1">
                          <a:spLocks noChangeArrowheads="1"/>
                        </wps:cNvSpPr>
                        <wps:spPr bwMode="auto">
                          <a:xfrm>
                            <a:off x="2293600" y="2789800"/>
                            <a:ext cx="1400100" cy="28580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D37EA1" w:rsidRDefault="00D37EA1" w:rsidP="005430A2">
                              <w:pPr>
                                <w:pStyle w:val="NormalWeb"/>
                                <w:spacing w:before="0" w:beforeAutospacing="0" w:after="160" w:afterAutospacing="0" w:line="256" w:lineRule="auto"/>
                                <w:jc w:val="center"/>
                              </w:pPr>
                              <w:r>
                                <w:rPr>
                                  <w:rFonts w:eastAsia="Calibri"/>
                                </w:rPr>
                                <w:t>Security</w:t>
                              </w:r>
                            </w:p>
                          </w:txbxContent>
                        </wps:txbx>
                        <wps:bodyPr rot="0" vert="horz" wrap="square" lIns="91440" tIns="45720" rIns="91440" bIns="45720" anchor="t" anchorCtr="0" upright="1">
                          <a:noAutofit/>
                        </wps:bodyPr>
                      </wps:wsp>
                      <wps:wsp>
                        <wps:cNvPr id="14" name="Oval 71"/>
                        <wps:cNvSpPr>
                          <a:spLocks noChangeArrowheads="1"/>
                        </wps:cNvSpPr>
                        <wps:spPr bwMode="auto">
                          <a:xfrm>
                            <a:off x="160000" y="1255300"/>
                            <a:ext cx="1314400" cy="857300"/>
                          </a:xfrm>
                          <a:prstGeom prst="ellipse">
                            <a:avLst/>
                          </a:prstGeom>
                          <a:solidFill>
                            <a:schemeClr val="lt1">
                              <a:lumMod val="100000"/>
                              <a:lumOff val="0"/>
                            </a:schemeClr>
                          </a:solidFill>
                          <a:ln w="1270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15" name="Text Box 72"/>
                        <wps:cNvSpPr txBox="1">
                          <a:spLocks noChangeArrowheads="1"/>
                        </wps:cNvSpPr>
                        <wps:spPr bwMode="auto">
                          <a:xfrm>
                            <a:off x="388600" y="1511500"/>
                            <a:ext cx="942900" cy="3429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37EA1" w:rsidRPr="007162E8" w:rsidRDefault="00D37EA1" w:rsidP="005430A2">
                              <w:pPr>
                                <w:jc w:val="center"/>
                                <w:rPr>
                                  <w:rFonts w:ascii="Times New Roman" w:hAnsi="Times New Roman" w:cs="Times New Roman"/>
                                  <w:sz w:val="32"/>
                                  <w:szCs w:val="32"/>
                                </w:rPr>
                              </w:pPr>
                              <w:r w:rsidRPr="007162E8">
                                <w:rPr>
                                  <w:rFonts w:ascii="Times New Roman" w:hAnsi="Times New Roman" w:cs="Times New Roman"/>
                                  <w:sz w:val="32"/>
                                  <w:szCs w:val="32"/>
                                </w:rPr>
                                <w:t>Factor 1</w:t>
                              </w:r>
                            </w:p>
                          </w:txbxContent>
                        </wps:txbx>
                        <wps:bodyPr rot="0" vert="horz" wrap="square" lIns="91440" tIns="45720" rIns="91440" bIns="45720" anchor="t" anchorCtr="0" upright="1">
                          <a:noAutofit/>
                        </wps:bodyPr>
                      </wps:wsp>
                      <wps:wsp>
                        <wps:cNvPr id="16" name="Oval 73"/>
                        <wps:cNvSpPr>
                          <a:spLocks noChangeArrowheads="1"/>
                        </wps:cNvSpPr>
                        <wps:spPr bwMode="auto">
                          <a:xfrm>
                            <a:off x="4206200" y="65600"/>
                            <a:ext cx="375300" cy="343900"/>
                          </a:xfrm>
                          <a:prstGeom prst="ellipse">
                            <a:avLst/>
                          </a:prstGeom>
                          <a:solidFill>
                            <a:schemeClr val="lt1">
                              <a:lumMod val="100000"/>
                              <a:lumOff val="0"/>
                            </a:schemeClr>
                          </a:solidFill>
                          <a:ln w="1270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17" name="Oval 74"/>
                        <wps:cNvSpPr>
                          <a:spLocks noChangeArrowheads="1"/>
                        </wps:cNvSpPr>
                        <wps:spPr bwMode="auto">
                          <a:xfrm>
                            <a:off x="4206200" y="503800"/>
                            <a:ext cx="375300" cy="381000"/>
                          </a:xfrm>
                          <a:prstGeom prst="ellipse">
                            <a:avLst/>
                          </a:prstGeom>
                          <a:solidFill>
                            <a:schemeClr val="lt1">
                              <a:lumMod val="100000"/>
                              <a:lumOff val="0"/>
                            </a:schemeClr>
                          </a:solidFill>
                          <a:ln w="1270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18" name="Oval 75"/>
                        <wps:cNvSpPr>
                          <a:spLocks noChangeArrowheads="1"/>
                        </wps:cNvSpPr>
                        <wps:spPr bwMode="auto">
                          <a:xfrm>
                            <a:off x="4206200" y="2712600"/>
                            <a:ext cx="377200" cy="363000"/>
                          </a:xfrm>
                          <a:prstGeom prst="ellipse">
                            <a:avLst/>
                          </a:prstGeom>
                          <a:solidFill>
                            <a:schemeClr val="lt1">
                              <a:lumMod val="100000"/>
                              <a:lumOff val="0"/>
                            </a:schemeClr>
                          </a:solidFill>
                          <a:ln w="1270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19" name="Oval 76"/>
                        <wps:cNvSpPr>
                          <a:spLocks noChangeArrowheads="1"/>
                        </wps:cNvSpPr>
                        <wps:spPr bwMode="auto">
                          <a:xfrm>
                            <a:off x="4208100" y="2292600"/>
                            <a:ext cx="375300" cy="343800"/>
                          </a:xfrm>
                          <a:prstGeom prst="ellipse">
                            <a:avLst/>
                          </a:prstGeom>
                          <a:solidFill>
                            <a:schemeClr val="lt1">
                              <a:lumMod val="100000"/>
                              <a:lumOff val="0"/>
                            </a:schemeClr>
                          </a:solidFill>
                          <a:ln w="1270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20" name="Oval 77"/>
                        <wps:cNvSpPr>
                          <a:spLocks noChangeArrowheads="1"/>
                        </wps:cNvSpPr>
                        <wps:spPr bwMode="auto">
                          <a:xfrm>
                            <a:off x="4208100" y="1854400"/>
                            <a:ext cx="375300" cy="335300"/>
                          </a:xfrm>
                          <a:prstGeom prst="ellipse">
                            <a:avLst/>
                          </a:prstGeom>
                          <a:solidFill>
                            <a:schemeClr val="lt1">
                              <a:lumMod val="100000"/>
                              <a:lumOff val="0"/>
                            </a:schemeClr>
                          </a:solidFill>
                          <a:ln w="1270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21" name="Oval 78"/>
                        <wps:cNvSpPr>
                          <a:spLocks noChangeArrowheads="1"/>
                        </wps:cNvSpPr>
                        <wps:spPr bwMode="auto">
                          <a:xfrm>
                            <a:off x="4206200" y="1388700"/>
                            <a:ext cx="375300" cy="379000"/>
                          </a:xfrm>
                          <a:prstGeom prst="ellipse">
                            <a:avLst/>
                          </a:prstGeom>
                          <a:solidFill>
                            <a:schemeClr val="lt1">
                              <a:lumMod val="100000"/>
                              <a:lumOff val="0"/>
                            </a:schemeClr>
                          </a:solidFill>
                          <a:ln w="1270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22" name="Oval 79"/>
                        <wps:cNvSpPr>
                          <a:spLocks noChangeArrowheads="1"/>
                        </wps:cNvSpPr>
                        <wps:spPr bwMode="auto">
                          <a:xfrm>
                            <a:off x="4206200" y="951500"/>
                            <a:ext cx="375300" cy="353400"/>
                          </a:xfrm>
                          <a:prstGeom prst="ellipse">
                            <a:avLst/>
                          </a:prstGeom>
                          <a:solidFill>
                            <a:schemeClr val="lt1">
                              <a:lumMod val="100000"/>
                              <a:lumOff val="0"/>
                            </a:schemeClr>
                          </a:solidFill>
                          <a:ln w="1270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23" name="Straight Arrow Connector 80"/>
                        <wps:cNvCnPr>
                          <a:cxnSpLocks noChangeShapeType="1"/>
                        </wps:cNvCnPr>
                        <wps:spPr bwMode="auto">
                          <a:xfrm flipV="1">
                            <a:off x="1474400" y="1560100"/>
                            <a:ext cx="819200" cy="1238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4" name="Straight Arrow Connector 81"/>
                        <wps:cNvCnPr>
                          <a:cxnSpLocks noChangeShapeType="1"/>
                        </wps:cNvCnPr>
                        <wps:spPr bwMode="auto">
                          <a:xfrm flipV="1">
                            <a:off x="1417300" y="1046700"/>
                            <a:ext cx="876300" cy="4648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5" name="Straight Arrow Connector 82"/>
                        <wps:cNvCnPr>
                          <a:cxnSpLocks noChangeShapeType="1"/>
                        </wps:cNvCnPr>
                        <wps:spPr bwMode="auto">
                          <a:xfrm>
                            <a:off x="1417300" y="1823900"/>
                            <a:ext cx="876300" cy="2562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6" name="Straight Arrow Connector 83"/>
                        <wps:cNvCnPr>
                          <a:cxnSpLocks noChangeShapeType="1"/>
                        </wps:cNvCnPr>
                        <wps:spPr bwMode="auto">
                          <a:xfrm flipV="1">
                            <a:off x="1281900" y="721200"/>
                            <a:ext cx="1011700" cy="6596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7" name="Straight Arrow Connector 84"/>
                        <wps:cNvCnPr>
                          <a:cxnSpLocks noChangeShapeType="1"/>
                        </wps:cNvCnPr>
                        <wps:spPr bwMode="auto">
                          <a:xfrm>
                            <a:off x="1281900" y="1987000"/>
                            <a:ext cx="1011700" cy="5066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8" name="Straight Arrow Connector 85"/>
                        <wps:cNvCnPr>
                          <a:cxnSpLocks noChangeShapeType="1"/>
                        </wps:cNvCnPr>
                        <wps:spPr bwMode="auto">
                          <a:xfrm flipV="1">
                            <a:off x="981000" y="295200"/>
                            <a:ext cx="1312600" cy="9601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9" name="Straight Arrow Connector 86"/>
                        <wps:cNvCnPr>
                          <a:cxnSpLocks noChangeShapeType="1"/>
                        </wps:cNvCnPr>
                        <wps:spPr bwMode="auto">
                          <a:xfrm>
                            <a:off x="1074400" y="2080100"/>
                            <a:ext cx="1219200" cy="85260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0" name="Straight Arrow Connector 87"/>
                        <wps:cNvCnPr>
                          <a:cxnSpLocks noChangeShapeType="1"/>
                        </wps:cNvCnPr>
                        <wps:spPr bwMode="auto">
                          <a:xfrm>
                            <a:off x="3693700" y="237600"/>
                            <a:ext cx="512500"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Straight Arrow Connector 88"/>
                        <wps:cNvCnPr>
                          <a:cxnSpLocks noChangeShapeType="1"/>
                        </wps:cNvCnPr>
                        <wps:spPr bwMode="auto">
                          <a:xfrm>
                            <a:off x="3693700" y="693000"/>
                            <a:ext cx="512500"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0" name="Straight Arrow Connector 89"/>
                        <wps:cNvCnPr>
                          <a:cxnSpLocks noChangeShapeType="1"/>
                        </wps:cNvCnPr>
                        <wps:spPr bwMode="auto">
                          <a:xfrm>
                            <a:off x="3695700" y="1092100"/>
                            <a:ext cx="512400"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1" name="Straight Arrow Connector 90"/>
                        <wps:cNvCnPr>
                          <a:cxnSpLocks noChangeShapeType="1"/>
                        </wps:cNvCnPr>
                        <wps:spPr bwMode="auto">
                          <a:xfrm>
                            <a:off x="3695700" y="1560100"/>
                            <a:ext cx="512400"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2" name="Straight Arrow Connector 91"/>
                        <wps:cNvCnPr>
                          <a:cxnSpLocks noChangeShapeType="1"/>
                        </wps:cNvCnPr>
                        <wps:spPr bwMode="auto">
                          <a:xfrm>
                            <a:off x="3691800" y="2035100"/>
                            <a:ext cx="512500"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3" name="Straight Arrow Connector 92"/>
                        <wps:cNvCnPr>
                          <a:cxnSpLocks noChangeShapeType="1"/>
                        </wps:cNvCnPr>
                        <wps:spPr bwMode="auto">
                          <a:xfrm>
                            <a:off x="3695700" y="2461800"/>
                            <a:ext cx="512400"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4" name="Straight Arrow Connector 93"/>
                        <wps:cNvCnPr>
                          <a:cxnSpLocks noChangeShapeType="1"/>
                        </wps:cNvCnPr>
                        <wps:spPr bwMode="auto">
                          <a:xfrm>
                            <a:off x="3693700" y="2885000"/>
                            <a:ext cx="512500"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5" name="Text Box 197"/>
                        <wps:cNvSpPr txBox="1">
                          <a:spLocks noChangeArrowheads="1"/>
                        </wps:cNvSpPr>
                        <wps:spPr bwMode="auto">
                          <a:xfrm>
                            <a:off x="4286200" y="555500"/>
                            <a:ext cx="238100" cy="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Pr="00F84884" w:rsidRDefault="00D37EA1" w:rsidP="005430A2">
                              <w:pPr>
                                <w:pStyle w:val="NormalWeb"/>
                                <w:spacing w:before="0" w:beforeAutospacing="0" w:after="160" w:afterAutospacing="0" w:line="256" w:lineRule="auto"/>
                              </w:pPr>
                              <w:r w:rsidRPr="00F84884">
                                <w:rPr>
                                  <w:rFonts w:eastAsia="Calibri"/>
                                </w:rPr>
                                <w:t>e</w:t>
                              </w:r>
                            </w:p>
                          </w:txbxContent>
                        </wps:txbx>
                        <wps:bodyPr rot="0" vert="horz" wrap="square" lIns="91440" tIns="45720" rIns="91440" bIns="45720" anchor="t" anchorCtr="0" upright="1">
                          <a:noAutofit/>
                        </wps:bodyPr>
                      </wps:wsp>
                      <wps:wsp>
                        <wps:cNvPr id="166" name="Text Box 197"/>
                        <wps:cNvSpPr txBox="1">
                          <a:spLocks noChangeArrowheads="1"/>
                        </wps:cNvSpPr>
                        <wps:spPr bwMode="auto">
                          <a:xfrm>
                            <a:off x="4286200" y="980600"/>
                            <a:ext cx="238100" cy="28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4" w:lineRule="auto"/>
                              </w:pPr>
                              <w:r>
                                <w:rPr>
                                  <w:rFonts w:eastAsia="Calibri"/>
                                </w:rPr>
                                <w:t>e</w:t>
                              </w:r>
                            </w:p>
                          </w:txbxContent>
                        </wps:txbx>
                        <wps:bodyPr rot="0" vert="horz" wrap="square" lIns="91440" tIns="45720" rIns="91440" bIns="45720" anchor="t" anchorCtr="0" upright="1">
                          <a:noAutofit/>
                        </wps:bodyPr>
                      </wps:wsp>
                      <wps:wsp>
                        <wps:cNvPr id="167" name="Text Box 197"/>
                        <wps:cNvSpPr txBox="1">
                          <a:spLocks noChangeArrowheads="1"/>
                        </wps:cNvSpPr>
                        <wps:spPr bwMode="auto">
                          <a:xfrm>
                            <a:off x="4286200" y="1428300"/>
                            <a:ext cx="238100" cy="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4" w:lineRule="auto"/>
                              </w:pPr>
                              <w:r>
                                <w:rPr>
                                  <w:rFonts w:eastAsia="Calibri"/>
                                </w:rPr>
                                <w:t>e</w:t>
                              </w:r>
                            </w:p>
                          </w:txbxContent>
                        </wps:txbx>
                        <wps:bodyPr rot="0" vert="horz" wrap="square" lIns="91440" tIns="45720" rIns="91440" bIns="45720" anchor="t" anchorCtr="0" upright="1">
                          <a:noAutofit/>
                        </wps:bodyPr>
                      </wps:wsp>
                      <wps:wsp>
                        <wps:cNvPr id="168" name="Text Box 197"/>
                        <wps:cNvSpPr txBox="1">
                          <a:spLocks noChangeArrowheads="1"/>
                        </wps:cNvSpPr>
                        <wps:spPr bwMode="auto">
                          <a:xfrm>
                            <a:off x="4286200" y="1906500"/>
                            <a:ext cx="238100" cy="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4" w:lineRule="auto"/>
                              </w:pPr>
                              <w:r>
                                <w:rPr>
                                  <w:rFonts w:eastAsia="Calibri"/>
                                </w:rPr>
                                <w:t>e</w:t>
                              </w:r>
                            </w:p>
                          </w:txbxContent>
                        </wps:txbx>
                        <wps:bodyPr rot="0" vert="horz" wrap="square" lIns="91440" tIns="45720" rIns="91440" bIns="45720" anchor="t" anchorCtr="0" upright="1">
                          <a:noAutofit/>
                        </wps:bodyPr>
                      </wps:wsp>
                      <wps:wsp>
                        <wps:cNvPr id="169" name="Text Box 197"/>
                        <wps:cNvSpPr txBox="1">
                          <a:spLocks noChangeArrowheads="1"/>
                        </wps:cNvSpPr>
                        <wps:spPr bwMode="auto">
                          <a:xfrm>
                            <a:off x="4286200" y="2349700"/>
                            <a:ext cx="238100" cy="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4" w:lineRule="auto"/>
                              </w:pPr>
                              <w:r>
                                <w:rPr>
                                  <w:rFonts w:eastAsia="Calibri"/>
                                </w:rPr>
                                <w:t>e</w:t>
                              </w:r>
                            </w:p>
                          </w:txbxContent>
                        </wps:txbx>
                        <wps:bodyPr rot="0" vert="horz" wrap="square" lIns="91440" tIns="45720" rIns="91440" bIns="45720" anchor="t" anchorCtr="0" upright="1">
                          <a:noAutofit/>
                        </wps:bodyPr>
                      </wps:wsp>
                      <wps:wsp>
                        <wps:cNvPr id="170" name="Text Box 197"/>
                        <wps:cNvSpPr txBox="1">
                          <a:spLocks noChangeArrowheads="1"/>
                        </wps:cNvSpPr>
                        <wps:spPr bwMode="auto">
                          <a:xfrm>
                            <a:off x="4286200" y="2788800"/>
                            <a:ext cx="238100" cy="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4" w:lineRule="auto"/>
                              </w:pPr>
                              <w:r>
                                <w:rPr>
                                  <w:rFonts w:eastAsia="Calibri"/>
                                </w:rPr>
                                <w:t>e</w:t>
                              </w:r>
                            </w:p>
                          </w:txbxContent>
                        </wps:txbx>
                        <wps:bodyPr rot="0" vert="horz" wrap="square" lIns="91440" tIns="45720" rIns="91440" bIns="45720" anchor="t" anchorCtr="0" upright="1">
                          <a:noAutofit/>
                        </wps:bodyPr>
                      </wps:wsp>
                      <wps:wsp>
                        <wps:cNvPr id="171" name="Text Box 197"/>
                        <wps:cNvSpPr txBox="1">
                          <a:spLocks noChangeArrowheads="1"/>
                        </wps:cNvSpPr>
                        <wps:spPr bwMode="auto">
                          <a:xfrm>
                            <a:off x="4286200" y="101800"/>
                            <a:ext cx="238100" cy="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4" w:lineRule="auto"/>
                              </w:pPr>
                              <w:r>
                                <w:rPr>
                                  <w:rFonts w:eastAsia="Calibri"/>
                                </w:rPr>
                                <w:t>e</w:t>
                              </w:r>
                            </w:p>
                          </w:txbxContent>
                        </wps:txbx>
                        <wps:bodyPr rot="0" vert="horz" wrap="square" lIns="91440" tIns="45720" rIns="91440" bIns="45720" anchor="t" anchorCtr="0" upright="1">
                          <a:noAutofit/>
                        </wps:bodyPr>
                      </wps:wsp>
                      <wps:wsp>
                        <wps:cNvPr id="172" name="Text Box 197"/>
                        <wps:cNvSpPr txBox="1">
                          <a:spLocks noChangeArrowheads="1"/>
                        </wps:cNvSpPr>
                        <wps:spPr bwMode="auto">
                          <a:xfrm>
                            <a:off x="3799500" y="237600"/>
                            <a:ext cx="238100" cy="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2" w:lineRule="auto"/>
                              </w:pPr>
                              <w:r>
                                <w:rPr>
                                  <w:rFonts w:eastAsia="Calibri"/>
                                </w:rPr>
                                <w:t>1</w:t>
                              </w:r>
                            </w:p>
                          </w:txbxContent>
                        </wps:txbx>
                        <wps:bodyPr rot="0" vert="horz" wrap="square" lIns="91440" tIns="45720" rIns="91440" bIns="45720" anchor="t" anchorCtr="0" upright="1">
                          <a:noAutofit/>
                        </wps:bodyPr>
                      </wps:wsp>
                      <wps:wsp>
                        <wps:cNvPr id="173" name="Text Box 197"/>
                        <wps:cNvSpPr txBox="1">
                          <a:spLocks noChangeArrowheads="1"/>
                        </wps:cNvSpPr>
                        <wps:spPr bwMode="auto">
                          <a:xfrm>
                            <a:off x="3799500" y="762500"/>
                            <a:ext cx="238100" cy="28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2" w:lineRule="auto"/>
                              </w:pPr>
                              <w:r>
                                <w:rPr>
                                  <w:rFonts w:eastAsia="Calibri"/>
                                </w:rPr>
                                <w:t>1</w:t>
                              </w:r>
                            </w:p>
                          </w:txbxContent>
                        </wps:txbx>
                        <wps:bodyPr rot="0" vert="horz" wrap="square" lIns="91440" tIns="45720" rIns="91440" bIns="45720" anchor="t" anchorCtr="0" upright="1">
                          <a:noAutofit/>
                        </wps:bodyPr>
                      </wps:wsp>
                      <wps:wsp>
                        <wps:cNvPr id="174" name="Text Box 197"/>
                        <wps:cNvSpPr txBox="1">
                          <a:spLocks noChangeArrowheads="1"/>
                        </wps:cNvSpPr>
                        <wps:spPr bwMode="auto">
                          <a:xfrm>
                            <a:off x="3799500" y="2915200"/>
                            <a:ext cx="238100" cy="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2" w:lineRule="auto"/>
                              </w:pPr>
                              <w:r>
                                <w:rPr>
                                  <w:rFonts w:eastAsia="Calibri"/>
                                </w:rPr>
                                <w:t>1</w:t>
                              </w:r>
                            </w:p>
                          </w:txbxContent>
                        </wps:txbx>
                        <wps:bodyPr rot="0" vert="horz" wrap="square" lIns="91440" tIns="45720" rIns="91440" bIns="45720" anchor="t" anchorCtr="0" upright="1">
                          <a:noAutofit/>
                        </wps:bodyPr>
                      </wps:wsp>
                      <wps:wsp>
                        <wps:cNvPr id="175" name="Text Box 197"/>
                        <wps:cNvSpPr txBox="1">
                          <a:spLocks noChangeArrowheads="1"/>
                        </wps:cNvSpPr>
                        <wps:spPr bwMode="auto">
                          <a:xfrm>
                            <a:off x="3799500" y="2461800"/>
                            <a:ext cx="238100" cy="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2" w:lineRule="auto"/>
                              </w:pPr>
                              <w:r>
                                <w:rPr>
                                  <w:rFonts w:eastAsia="Calibri"/>
                                </w:rPr>
                                <w:t>1</w:t>
                              </w:r>
                            </w:p>
                          </w:txbxContent>
                        </wps:txbx>
                        <wps:bodyPr rot="0" vert="horz" wrap="square" lIns="91440" tIns="45720" rIns="91440" bIns="45720" anchor="t" anchorCtr="0" upright="1">
                          <a:noAutofit/>
                        </wps:bodyPr>
                      </wps:wsp>
                      <wps:wsp>
                        <wps:cNvPr id="176" name="Text Box 197"/>
                        <wps:cNvSpPr txBox="1">
                          <a:spLocks noChangeArrowheads="1"/>
                        </wps:cNvSpPr>
                        <wps:spPr bwMode="auto">
                          <a:xfrm>
                            <a:off x="3789000" y="1599500"/>
                            <a:ext cx="238100" cy="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2" w:lineRule="auto"/>
                              </w:pPr>
                              <w:r>
                                <w:rPr>
                                  <w:rFonts w:eastAsia="Calibri"/>
                                </w:rPr>
                                <w:t>1</w:t>
                              </w:r>
                            </w:p>
                          </w:txbxContent>
                        </wps:txbx>
                        <wps:bodyPr rot="0" vert="horz" wrap="square" lIns="91440" tIns="45720" rIns="91440" bIns="45720" anchor="t" anchorCtr="0" upright="1">
                          <a:noAutofit/>
                        </wps:bodyPr>
                      </wps:wsp>
                      <wps:wsp>
                        <wps:cNvPr id="178" name="Text Box 197"/>
                        <wps:cNvSpPr txBox="1">
                          <a:spLocks noChangeArrowheads="1"/>
                        </wps:cNvSpPr>
                        <wps:spPr bwMode="auto">
                          <a:xfrm>
                            <a:off x="3799500" y="2035100"/>
                            <a:ext cx="238100" cy="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2" w:lineRule="auto"/>
                              </w:pPr>
                              <w:r>
                                <w:rPr>
                                  <w:rFonts w:eastAsia="Calibri"/>
                                </w:rPr>
                                <w:t>1</w:t>
                              </w:r>
                            </w:p>
                          </w:txbxContent>
                        </wps:txbx>
                        <wps:bodyPr rot="0" vert="horz" wrap="square" lIns="91440" tIns="45720" rIns="91440" bIns="45720" anchor="t" anchorCtr="0" upright="1">
                          <a:noAutofit/>
                        </wps:bodyPr>
                      </wps:wsp>
                      <wps:wsp>
                        <wps:cNvPr id="179" name="Text Box 197"/>
                        <wps:cNvSpPr txBox="1">
                          <a:spLocks noChangeArrowheads="1"/>
                        </wps:cNvSpPr>
                        <wps:spPr bwMode="auto">
                          <a:xfrm>
                            <a:off x="3799500" y="1142600"/>
                            <a:ext cx="238100" cy="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2" w:lineRule="auto"/>
                              </w:pPr>
                              <w:r>
                                <w:rPr>
                                  <w:rFonts w:eastAsia="Calibri"/>
                                </w:rPr>
                                <w:t>1</w:t>
                              </w:r>
                            </w:p>
                          </w:txbxContent>
                        </wps:txbx>
                        <wps:bodyPr rot="0" vert="horz" wrap="square" lIns="91440" tIns="45720" rIns="91440" bIns="45720" anchor="t" anchorCtr="0" upright="1">
                          <a:noAutofit/>
                        </wps:bodyPr>
                      </wps:wsp>
                      <wps:wsp>
                        <wps:cNvPr id="180" name="Text Box 197"/>
                        <wps:cNvSpPr txBox="1">
                          <a:spLocks noChangeArrowheads="1"/>
                        </wps:cNvSpPr>
                        <wps:spPr bwMode="auto">
                          <a:xfrm>
                            <a:off x="1417300" y="554600"/>
                            <a:ext cx="238100" cy="28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37EA1" w:rsidRDefault="00D37EA1" w:rsidP="005430A2">
                              <w:pPr>
                                <w:pStyle w:val="NormalWeb"/>
                                <w:spacing w:before="0" w:beforeAutospacing="0" w:after="160" w:afterAutospacing="0" w:line="252" w:lineRule="auto"/>
                              </w:pPr>
                              <w:r>
                                <w:rPr>
                                  <w:rFonts w:eastAsia="Calibri"/>
                                </w:rPr>
                                <w:t>1</w:t>
                              </w:r>
                            </w:p>
                          </w:txbxContent>
                        </wps:txbx>
                        <wps:bodyPr rot="0" vert="horz" wrap="square" lIns="91440" tIns="45720" rIns="91440" bIns="45720" anchor="t" anchorCtr="0" upright="1">
                          <a:noAutofit/>
                        </wps:bodyPr>
                      </wps:wsp>
                    </wpc:wpc>
                  </a:graphicData>
                </a:graphic>
              </wp:inline>
            </w:drawing>
          </mc:Choice>
          <mc:Fallback>
            <w:pict>
              <v:group id="Canvas 100"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type id="_x0000_t202" coordsize="21600,21600" o:spt="202" path="m,l,21600r21600,l21600,xe">
                  <v:stroke joinstyle="miter"/>
                  <v:path gradientshapeok="t" o:connecttype="rect"/>
                </v:shapetype>
                <v:shape id="Text Box 64" o:spid="_x0000_s1028" type="#_x0000_t202" style="position:absolute;left:22936;top:1028;width:140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HlscAA&#10;AADaAAAADwAAAGRycy9kb3ducmV2LnhtbESPS6vCMBSE94L/IRzBnaZauEo1ig8EETc+Fi4PzbEt&#10;Nielibb+e3NBcDnMzDfMfNmaUryodoVlBaNhBII4tbrgTMH1shtMQTiPrLG0TAre5GC56HbmmGjb&#10;8IleZ5+JAGGXoILc+yqR0qU5GXRDWxEH725rgz7IOpO6xibATSnHUfQnDRYcFnKsaJNT+jg/jYJD&#10;TI9bnLmja+7reK+j7bE8bJXq99rVDISn1v/C3/ZeK5jA/5VwA+Ti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tHlscAAAADaAAAADwAAAAAAAAAAAAAAAACYAgAAZHJzL2Rvd25y&#10;ZXYueG1sUEsFBgAAAAAEAAQA9QAAAIUDAAAAAA==&#10;" fillcolor="white [3201]" strokecolor="black [3200]" strokeweight="1pt">
                  <v:textbox>
                    <w:txbxContent>
                      <w:p w:rsidR="00D37EA1" w:rsidRPr="007162E8" w:rsidRDefault="00D37EA1" w:rsidP="005430A2">
                        <w:pPr>
                          <w:jc w:val="center"/>
                          <w:rPr>
                            <w:rFonts w:ascii="Times New Roman" w:hAnsi="Times New Roman" w:cs="Times New Roman"/>
                          </w:rPr>
                        </w:pPr>
                        <w:r w:rsidRPr="007162E8">
                          <w:rPr>
                            <w:rFonts w:ascii="Times New Roman" w:hAnsi="Times New Roman" w:cs="Times New Roman"/>
                          </w:rPr>
                          <w:t>Standard of Living</w:t>
                        </w:r>
                      </w:p>
                    </w:txbxContent>
                  </v:textbox>
                </v:shape>
                <v:shape id="Text Box 2" o:spid="_x0000_s1029" type="#_x0000_t202" style="position:absolute;left:22936;top:5419;width:14001;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xw7wA&#10;AADaAAAADwAAAGRycy9kb3ducmV2LnhtbERPyQrCMBC9C/5DGMGbTbUgUo3igiDixeXgcWjGtthM&#10;ShNt/XtzEDw+3r5YdaYSb2pcaVnBOIpBEGdWl5wruF33oxkI55E1VpZJwYccrJb93gJTbVs+0/vi&#10;cxFC2KWooPC+TqV0WUEGXWRr4sA9bGPQB9jkUjfYhnBTyUkcT6XBkkNDgTVtC8qel5dRcEzoeU9y&#10;d3LtY5McdLw7VcedUsNBt56D8NT5v/jnPmg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7TnHDvAAAANoAAAAPAAAAAAAAAAAAAAAAAJgCAABkcnMvZG93bnJldi54&#10;bWxQSwUGAAAAAAQABAD1AAAAgQMAAAAA&#10;" fillcolor="white [3201]" strokecolor="black [3200]" strokeweight="1pt">
                  <v:textbox>
                    <w:txbxContent>
                      <w:p w:rsidR="00D37EA1" w:rsidRDefault="00D37EA1" w:rsidP="005430A2">
                        <w:pPr>
                          <w:pStyle w:val="NormalWeb"/>
                          <w:spacing w:before="0" w:beforeAutospacing="0" w:after="160" w:afterAutospacing="0" w:line="256" w:lineRule="auto"/>
                          <w:jc w:val="center"/>
                        </w:pPr>
                        <w:r>
                          <w:rPr>
                            <w:rFonts w:eastAsia="Calibri"/>
                          </w:rPr>
                          <w:t>Health</w:t>
                        </w:r>
                      </w:p>
                    </w:txbxContent>
                  </v:textbox>
                </v:shape>
                <v:shape id="Text Box 2" o:spid="_x0000_s1030" type="#_x0000_t202" style="position:absolute;left:22936;top:9515;width:140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LUWMAA&#10;AADaAAAADwAAAGRycy9kb3ducmV2LnhtbESPS6vCMBSE94L/IRzBnaZauGg1ig8EETc+Fi4PzbEt&#10;Nielibb+e3NBcDnMzDfMfNmaUryodoVlBaNhBII4tbrgTMH1shtMQDiPrLG0TAre5GC56HbmmGjb&#10;8IleZ5+JAGGXoILc+yqR0qU5GXRDWxEH725rgz7IOpO6xibATSnHUfQnDRYcFnKsaJNT+jg/jYJD&#10;TI9bnLmja+7reK+j7bE8bJXq99rVDISn1v/C3/ZeK5jC/5VwA+Ti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LUWMAAAADaAAAADwAAAAAAAAAAAAAAAACYAgAAZHJzL2Rvd25y&#10;ZXYueG1sUEsFBgAAAAAEAAQA9QAAAIUDAAAAAA==&#10;" fillcolor="white [3201]" strokecolor="black [3200]" strokeweight="1pt">
                  <v:textbox>
                    <w:txbxContent>
                      <w:p w:rsidR="00D37EA1" w:rsidRDefault="00D37EA1" w:rsidP="005430A2">
                        <w:pPr>
                          <w:pStyle w:val="NormalWeb"/>
                          <w:spacing w:before="0" w:beforeAutospacing="0" w:after="160" w:afterAutospacing="0" w:line="256" w:lineRule="auto"/>
                          <w:jc w:val="center"/>
                        </w:pPr>
                        <w:r>
                          <w:rPr>
                            <w:rFonts w:eastAsia="Calibri"/>
                          </w:rPr>
                          <w:t>Achieving</w:t>
                        </w:r>
                      </w:p>
                    </w:txbxContent>
                  </v:textbox>
                </v:shape>
                <v:shape id="Text Box 2" o:spid="_x0000_s1031" type="#_x0000_t202" style="position:absolute;left:22936;top:18827;width:140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CL8QA&#10;AADbAAAADwAAAGRycy9kb3ducmV2LnhtbESPQWvDMAyF74X9B6PBbo2zBUrJ6oZtYVBCLm132FHE&#10;ahIayyH2muzfT4dBbxLv6b1Pu2Jxg7rRFHrPBp6TFBRx423PrYGv8+d6CypEZIuDZzLwSwGK/cNq&#10;h7n1Mx/pdoqtkhAOORroYhxzrUPTkcOQ+JFYtIufHEZZp1bbCWcJd4N+SdONdtizNHQ40kdHzfX0&#10;4wxUGV2/szbUYb68ZweblvVQlcY8PS5vr6AiLfFu/r8+WMEXevlFBtD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IAi/EAAAA2wAAAA8AAAAAAAAAAAAAAAAAmAIAAGRycy9k&#10;b3ducmV2LnhtbFBLBQYAAAAABAAEAPUAAACJAwAAAAA=&#10;" fillcolor="white [3201]" strokecolor="black [3200]" strokeweight="1pt">
                  <v:textbox>
                    <w:txbxContent>
                      <w:p w:rsidR="00D37EA1" w:rsidRDefault="00D37EA1" w:rsidP="005430A2">
                        <w:pPr>
                          <w:pStyle w:val="NormalWeb"/>
                          <w:spacing w:before="0" w:beforeAutospacing="0" w:after="160" w:afterAutospacing="0" w:line="256" w:lineRule="auto"/>
                          <w:jc w:val="center"/>
                        </w:pPr>
                        <w:r>
                          <w:rPr>
                            <w:rFonts w:eastAsia="Calibri"/>
                          </w:rPr>
                          <w:t>Safety</w:t>
                        </w:r>
                      </w:p>
                    </w:txbxContent>
                  </v:textbox>
                </v:shape>
                <v:shape id="Text Box 2" o:spid="_x0000_s1032" type="#_x0000_t202" style="position:absolute;left:22936;top:14172;width:14001;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SntL0A&#10;AADbAAAADwAAAGRycy9kb3ducmV2LnhtbERPyQrCMBC9C/5DGMGbploQqUZxQRDx4nLwODRjW2wm&#10;pYm2/r0RBG/zeOvMl60pxYtqV1hWMBpGIIhTqwvOFFwvu8EUhPPIGkvLpOBNDpaLbmeOibYNn+h1&#10;9pkIIewSVJB7XyVSujQng25oK+LA3W1t0AdYZ1LX2IRwU8pxFE2kwYJDQ44VbXJKH+enUXCI6XGL&#10;M3d0zX0d73W0PZaHrVL9XruagfDU+r/4597rMH8E31/CAXL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oSntL0AAADbAAAADwAAAAAAAAAAAAAAAACYAgAAZHJzL2Rvd25yZXYu&#10;eG1sUEsFBgAAAAAEAAQA9QAAAIIDAAAAAA==&#10;" fillcolor="white [3201]" strokecolor="black [3200]" strokeweight="1pt">
                  <v:textbox>
                    <w:txbxContent>
                      <w:p w:rsidR="00D37EA1" w:rsidRDefault="00D37EA1" w:rsidP="005430A2">
                        <w:pPr>
                          <w:pStyle w:val="NormalWeb"/>
                          <w:spacing w:before="0" w:beforeAutospacing="0" w:after="160" w:afterAutospacing="0" w:line="256" w:lineRule="auto"/>
                          <w:jc w:val="center"/>
                        </w:pPr>
                        <w:r>
                          <w:rPr>
                            <w:rFonts w:eastAsia="Calibri"/>
                          </w:rPr>
                          <w:t>Relationships</w:t>
                        </w:r>
                      </w:p>
                    </w:txbxContent>
                  </v:textbox>
                </v:shape>
                <v:shape id="Text Box 2" o:spid="_x0000_s1033" type="#_x0000_t202" style="position:absolute;left:22936;top:23507;width:140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5w70A&#10;AADbAAAADwAAAGRycy9kb3ducmV2LnhtbERPyQrCMBC9C/5DGMGbploQqUZxQRDx4nLwODRjW2wm&#10;pYm2/r0RBG/zeOvMl60pxYtqV1hWMBpGIIhTqwvOFFwvu8EUhPPIGkvLpOBNDpaLbmeOibYNn+h1&#10;9pkIIewSVJB7XyVSujQng25oK+LA3W1t0AdYZ1LX2IRwU8pxFE2kwYJDQ44VbXJKH+enUXCI6XGL&#10;M3d0zX0d73W0PZaHrVL9XruagfDU+r/4597rMH8M31/CAXL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lY5w70AAADbAAAADwAAAAAAAAAAAAAAAACYAgAAZHJzL2Rvd25yZXYu&#10;eG1sUEsFBgAAAAAEAAQA9QAAAIIDAAAAAA==&#10;" fillcolor="white [3201]" strokecolor="black [3200]" strokeweight="1pt">
                  <v:textbox>
                    <w:txbxContent>
                      <w:p w:rsidR="00D37EA1" w:rsidRDefault="00D37EA1" w:rsidP="005430A2">
                        <w:pPr>
                          <w:pStyle w:val="NormalWeb"/>
                          <w:spacing w:before="0" w:beforeAutospacing="0" w:after="160" w:afterAutospacing="0" w:line="256" w:lineRule="auto"/>
                          <w:jc w:val="center"/>
                        </w:pPr>
                        <w:r>
                          <w:rPr>
                            <w:rFonts w:eastAsia="Calibri"/>
                          </w:rPr>
                          <w:t>Community</w:t>
                        </w:r>
                      </w:p>
                    </w:txbxContent>
                  </v:textbox>
                </v:shape>
                <v:shape id="Text Box 2" o:spid="_x0000_s1034" type="#_x0000_t202" style="position:absolute;left:22936;top:27898;width:14001;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qcWL0A&#10;AADbAAAADwAAAGRycy9kb3ducmV2LnhtbERPyQrCMBC9C/5DGMGbploQqUZxQRDx4nLwODRjW2wm&#10;pYm2/r0RBG/zeOvMl60pxYtqV1hWMBpGIIhTqwvOFFwvu8EUhPPIGkvLpOBNDpaLbmeOibYNn+h1&#10;9pkIIewSVJB7XyVSujQng25oK+LA3W1t0AdYZ1LX2IRwU8pxFE2kwYJDQ44VbXJKH+enUXCI6XGL&#10;M3d0zX0d73W0PZaHrVL9XruagfDU+r/4597rMD+G7y/hALn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RqcWL0AAADbAAAADwAAAAAAAAAAAAAAAACYAgAAZHJzL2Rvd25yZXYu&#10;eG1sUEsFBgAAAAAEAAQA9QAAAIIDAAAAAA==&#10;" fillcolor="white [3201]" strokecolor="black [3200]" strokeweight="1pt">
                  <v:textbox>
                    <w:txbxContent>
                      <w:p w:rsidR="00D37EA1" w:rsidRDefault="00D37EA1" w:rsidP="005430A2">
                        <w:pPr>
                          <w:pStyle w:val="NormalWeb"/>
                          <w:spacing w:before="0" w:beforeAutospacing="0" w:after="160" w:afterAutospacing="0" w:line="256" w:lineRule="auto"/>
                          <w:jc w:val="center"/>
                        </w:pPr>
                        <w:r>
                          <w:rPr>
                            <w:rFonts w:eastAsia="Calibri"/>
                          </w:rPr>
                          <w:t>Security</w:t>
                        </w:r>
                      </w:p>
                    </w:txbxContent>
                  </v:textbox>
                </v:shape>
                <v:oval id="Oval 71" o:spid="_x0000_s1035" style="position:absolute;left:1600;top:12553;width:13144;height:8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BvMAA&#10;AADbAAAADwAAAGRycy9kb3ducmV2LnhtbERP32vCMBB+H+x/CDfYy5jJxhDpTIuIgq9WYeztbM6m&#10;tLmUJqvd/nozEHy7j+/nLYvJdWKkITSeNbzNFAjiypuGaw3Hw/Z1ASJEZIOdZ9LwSwGK/PFhiZnx&#10;F97TWMZapBAOGWqwMfaZlKGy5DDMfE+cuLMfHMYEh1qaAS8p3HXyXam5dNhwarDY09pS1ZY/TkOp&#10;2pLkC/59j6Ts4dRv+Eu2Wj8/TatPEJGmeBff3DuT5n/A/y/pAJl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8+BvMAAAADbAAAADwAAAAAAAAAAAAAAAACYAgAAZHJzL2Rvd25y&#10;ZXYueG1sUEsFBgAAAAAEAAQA9QAAAIUDAAAAAA==&#10;" fillcolor="white [3201]" strokecolor="black [3200]" strokeweight="1pt">
                  <v:stroke joinstyle="miter"/>
                </v:oval>
                <v:shape id="Text Box 72" o:spid="_x0000_s1036" type="#_x0000_t202" style="position:absolute;left:3886;top:15115;width:9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kQMMA&#10;AADbAAAADwAAAGRycy9kb3ducmV2LnhtbERPS2vCQBC+F/wPywi9SN1YUUt0FRH7wJtJq3gbsmMS&#10;zM6G7DZJ/323IPQ2H99zVpveVKKlxpWWFUzGEQjizOqScwWf6evTCwjnkTVWlknBDznYrAcPK4y1&#10;7fhIbeJzEULYxaig8L6OpXRZQQbd2NbEgbvaxqAPsMmlbrAL4aaSz1E0lwZLDg0F1rQrKLsl30bB&#10;ZZSfD65/++qms2m9f2/TxUmnSj0O++0ShKfe/4vv7g8d5s/g75dw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TkQMMAAADbAAAADwAAAAAAAAAAAAAAAACYAgAAZHJzL2Rv&#10;d25yZXYueG1sUEsFBgAAAAAEAAQA9QAAAIgDAAAAAA==&#10;" fillcolor="white [3201]" stroked="f" strokeweight=".5pt">
                  <v:textbox>
                    <w:txbxContent>
                      <w:p w:rsidR="00D37EA1" w:rsidRPr="007162E8" w:rsidRDefault="00D37EA1" w:rsidP="005430A2">
                        <w:pPr>
                          <w:jc w:val="center"/>
                          <w:rPr>
                            <w:rFonts w:ascii="Times New Roman" w:hAnsi="Times New Roman" w:cs="Times New Roman"/>
                            <w:sz w:val="32"/>
                            <w:szCs w:val="32"/>
                          </w:rPr>
                        </w:pPr>
                        <w:r w:rsidRPr="007162E8">
                          <w:rPr>
                            <w:rFonts w:ascii="Times New Roman" w:hAnsi="Times New Roman" w:cs="Times New Roman"/>
                            <w:sz w:val="32"/>
                            <w:szCs w:val="32"/>
                          </w:rPr>
                          <w:t>Factor 1</w:t>
                        </w:r>
                      </w:p>
                    </w:txbxContent>
                  </v:textbox>
                </v:shape>
                <v:oval id="Oval 73" o:spid="_x0000_s1037" style="position:absolute;left:42062;top:656;width:3753;height:3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G6UL8A&#10;AADbAAAADwAAAGRycy9kb3ducmV2LnhtbERPTWvCQBC9F/wPywheiu7qQUrMKiIWvBoLxduYHbMh&#10;2dmQ3cbYX98tFHqbx/ucfDe6VgzUh9qzhuVCgSAuvam50vBxeZ+/gQgR2WDrmTQ8KcBuO3nJMTP+&#10;wWcailiJFMIhQw02xi6TMpSWHIaF74gTd/e9w5hgX0nT4yOFu1aulFpLhzWnBosdHSyVTfHlNBSq&#10;KUi+4vd1IGUvt+7In7LRejYd9xsQkcb4L/5zn0yav4bfX9IBcv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UbpQvwAAANsAAAAPAAAAAAAAAAAAAAAAAJgCAABkcnMvZG93bnJl&#10;di54bWxQSwUGAAAAAAQABAD1AAAAhAMAAAAA&#10;" fillcolor="white [3201]" strokecolor="black [3200]" strokeweight="1pt">
                  <v:stroke joinstyle="miter"/>
                </v:oval>
                <v:oval id="Oval 74" o:spid="_x0000_s1038" style="position:absolute;left:42062;top:5038;width:3753;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0fy8AA&#10;AADbAAAADwAAAGRycy9kb3ducmV2LnhtbERPTWvCQBC9F/oflin0Uupue6iSugkiCl6NQultzI7Z&#10;kOxsyG5j2l/vFgRv83ifsywm14mRhtB41vA2UyCIK28arjUcD9vXBYgQkQ12nknDLwUo8seHJWbG&#10;X3hPYxlrkUI4ZKjBxthnUobKksMw8z1x4s5+cBgTHGppBrykcNfJd6U+pMOGU4PFntaWqrb8cRpK&#10;1ZYkX/DveyRlD6d+w1+y1fr5aVp9gog0xbv45t6ZNH8O/7+kA2R+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0fy8AAAADbAAAADwAAAAAAAAAAAAAAAACYAgAAZHJzL2Rvd25y&#10;ZXYueG1sUEsFBgAAAAAEAAQA9QAAAIUDAAAAAA==&#10;" fillcolor="white [3201]" strokecolor="black [3200]" strokeweight="1pt">
                  <v:stroke joinstyle="miter"/>
                </v:oval>
                <v:oval id="Oval 75" o:spid="_x0000_s1039" style="position:absolute;left:42062;top:27126;width:3772;height:36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KLucIA&#10;AADbAAAADwAAAGRycy9kb3ducmV2LnhtbESPQWvDMAyF74P+B6PBLqO1u8MYad0yRge9Ni2U3tRY&#10;i0NiOcRemu7XT4fBbhLv6b1P6+0UOjXSkJrIFpYLA4q4iq7h2sLp+Dl/A5UyssMuMlm4U4LtZvaw&#10;xsLFGx9oLHOtJIRTgRZ8zn2hdao8BUyL2BOL9hWHgFnWodZuwJuEh06/GPOqAzYsDR57+vBUteV3&#10;sFCatiT9jD+XkYw/Xvsdn3Vr7dPj9L4ClWnK/+a/670TfIGV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gou5wgAAANsAAAAPAAAAAAAAAAAAAAAAAJgCAABkcnMvZG93&#10;bnJldi54bWxQSwUGAAAAAAQABAD1AAAAhwMAAAAA&#10;" fillcolor="white [3201]" strokecolor="black [3200]" strokeweight="1pt">
                  <v:stroke joinstyle="miter"/>
                </v:oval>
                <v:oval id="Oval 76" o:spid="_x0000_s1040" style="position:absolute;left:42081;top:22926;width:3753;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4uIsAA&#10;AADbAAAADwAAAGRycy9kb3ducmV2LnhtbERPTWvCQBC9F/oflin0UupueyiaugkiCl6NQultzI7Z&#10;kOxsyG5j2l/vFgRv83ifsywm14mRhtB41vA2UyCIK28arjUcD9vXOYgQkQ12nknDLwUo8seHJWbG&#10;X3hPYxlrkUI4ZKjBxthnUobKksMw8z1x4s5+cBgTHGppBrykcNfJd6U+pMOGU4PFntaWqrb8cRpK&#10;1ZYkX/DveyRlD6d+w1+y1fr5aVp9gog0xbv45t6ZNH8B/7+kA2R+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4uIsAAAADbAAAADwAAAAAAAAAAAAAAAACYAgAAZHJzL2Rvd25y&#10;ZXYueG1sUEsFBgAAAAAEAAQA9QAAAIUDAAAAAA==&#10;" fillcolor="white [3201]" strokecolor="black [3200]" strokeweight="1pt">
                  <v:stroke joinstyle="miter"/>
                </v:oval>
                <v:oval id="Oval 77" o:spid="_x0000_s1041" style="position:absolute;left:42081;top:18544;width:3753;height:33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hNAr4A&#10;AADbAAAADwAAAGRycy9kb3ducmV2LnhtbERPTYvCMBC9C/6HMMJeRBM9iHSNIrLCXrcK4m22GZvS&#10;ZlKabO36681B8Ph435vd4BrRUxcqzxoWcwWCuPCm4lLD+XScrUGEiGyw8Uwa/inAbjsebTAz/s4/&#10;1OexFCmEQ4YabIxtJmUoLDkMc98SJ+7mO4cxwa6UpsN7CneNXCq1kg4rTg0WWzpYKur8z2nIVZ2T&#10;nOLj2pOyp9/2iy+y1vpjMuw/QUQa4lv8cn8bDcu0Pn1JP0Bu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6YTQK+AAAA2wAAAA8AAAAAAAAAAAAAAAAAmAIAAGRycy9kb3ducmV2&#10;LnhtbFBLBQYAAAAABAAEAPUAAACDAwAAAAA=&#10;" fillcolor="white [3201]" strokecolor="black [3200]" strokeweight="1pt">
                  <v:stroke joinstyle="miter"/>
                </v:oval>
                <v:oval id="Oval 78" o:spid="_x0000_s1042" style="position:absolute;left:42062;top:13887;width:3753;height:37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TomcIA&#10;AADbAAAADwAAAGRycy9kb3ducmV2LnhtbESPwWrDMBBE74X+g9hCLqGRnEMJrhVTSgO51gmE3LbW&#10;1jK2VsZSHTdfHwUKPQ4z84Ypytn1YqIxtJ41ZCsFgrj2puVGw/Gwe96ACBHZYO+ZNPxSgHL7+FBg&#10;bvyFP2mqYiMShEOOGmyMQy5lqC05DCs/ECfv248OY5JjI82IlwR3vVwr9SIdtpwWLA70bqnuqh+n&#10;oVJdRXKJ1/NEyh6+hg8+yU7rxdP89goi0hz/w3/tvdGwzuD+Jf0Aub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1OiZwgAAANsAAAAPAAAAAAAAAAAAAAAAAJgCAABkcnMvZG93&#10;bnJldi54bWxQSwUGAAAAAAQABAD1AAAAhwMAAAAA&#10;" fillcolor="white [3201]" strokecolor="black [3200]" strokeweight="1pt">
                  <v:stroke joinstyle="miter"/>
                </v:oval>
                <v:oval id="Oval 79" o:spid="_x0000_s1043" style="position:absolute;left:42062;top:9515;width:3753;height:35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Z27sIA&#10;AADbAAAADwAAAGRycy9kb3ducmV2LnhtbESPwWrDMBBE74X8g9hCLyGR4kMJTmRTSgK5ximU3rbW&#10;1jK2VsZSHKdfXxUKPQ4z84bZl7PrxURjaD1r2KwVCOLam5YbDW+X42oLIkRkg71n0nCnAGWxeNhj&#10;bvyNzzRVsREJwiFHDTbGIZcy1JYchrUfiJP35UeHMcmxkWbEW4K7XmZKPUuHLacFiwO9Wqq76uo0&#10;VKqrSC7x+2MiZS+fw4HfZaf10+P8sgMRaY7/4b/2yWjIMvj9kn6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BnbuwgAAANsAAAAPAAAAAAAAAAAAAAAAAJgCAABkcnMvZG93&#10;bnJldi54bWxQSwUGAAAAAAQABAD1AAAAhwMAAAAA&#10;" fillcolor="white [3201]" strokecolor="black [3200]" strokeweight="1pt">
                  <v:stroke joinstyle="miter"/>
                </v:oval>
                <v:shapetype id="_x0000_t32" coordsize="21600,21600" o:spt="32" o:oned="t" path="m,l21600,21600e" filled="f">
                  <v:path arrowok="t" fillok="f" o:connecttype="none"/>
                  <o:lock v:ext="edit" shapetype="t"/>
                </v:shapetype>
                <v:shape id="Straight Arrow Connector 80" o:spid="_x0000_s1044" type="#_x0000_t32" style="position:absolute;left:14744;top:15601;width:8192;height:12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Sb3sQAAADbAAAADwAAAGRycy9kb3ducmV2LnhtbESPQWvCQBSE74X+h+UJXkrdNBFboquU&#10;irRXYynt7TX7TILZtyFv1fTfdwXB4zAz3zCL1eBadaJeGs8GniYJKOLS24YrA5+7zeMLKAnIFlvP&#10;ZOCPBFbL+7sF5tafeUunIlQqQlhyNFCH0OVaS1mTQ5n4jjh6e987DFH2lbY9niPctTpNkpl22HBc&#10;qLGjt5rKQ3F0BrIwlXQ7/X6W4qf6fbDrLJOvd2PGo+F1DirQEG7ha/vDGkgzuHyJP0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9JvexAAAANsAAAAPAAAAAAAAAAAA&#10;AAAAAKECAABkcnMvZG93bnJldi54bWxQSwUGAAAAAAQABAD5AAAAkgMAAAAA&#10;" strokecolor="black [3200]" strokeweight=".5pt">
                  <v:stroke endarrow="block" joinstyle="miter"/>
                </v:shape>
                <v:shape id="Straight Arrow Connector 81" o:spid="_x0000_s1045" type="#_x0000_t32" style="position:absolute;left:14173;top:10467;width:8763;height:46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0DqsQAAADbAAAADwAAAGRycy9kb3ducmV2LnhtbESPQUvDQBSE74L/YXlCL9JuTIItsdsi&#10;lqLXRpH29pp9JsHs25C3beO/dwWhx2FmvmGW69F16kyDtJ4NPMwSUMSVty3XBj7et9MFKAnIFjvP&#10;ZOCHBNar25slFtZfeEfnMtQqQlgKNNCE0BdaS9WQQ5n5njh6X35wGKIcam0HvES463SaJI/aYctx&#10;ocGeXhqqvsuTM5CFXNJdvp9LeaiP93aTZfL5aszkbnx+AhVoDNfwf/vNGkhz+PsSf4B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HQOqxAAAANsAAAAPAAAAAAAAAAAA&#10;AAAAAKECAABkcnMvZG93bnJldi54bWxQSwUGAAAAAAQABAD5AAAAkgMAAAAA&#10;" strokecolor="black [3200]" strokeweight=".5pt">
                  <v:stroke endarrow="block" joinstyle="miter"/>
                </v:shape>
                <v:shape id="Straight Arrow Connector 82" o:spid="_x0000_s1046" type="#_x0000_t32" style="position:absolute;left:14173;top:18239;width:8763;height:25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PgR8MAAADbAAAADwAAAGRycy9kb3ducmV2LnhtbESPQWvCQBSE74L/YXlCb7oxENHUVRJF&#10;sL0ZpedH9jUJzb6N2dWk/75bKPQ4zMw3zHY/mlY8qXeNZQXLRQSCuLS64UrB7Xqar0E4j6yxtUwK&#10;vsnBfjedbDHVduALPQtfiQBhl6KC2vsuldKVNRl0C9sRB+/T9gZ9kH0ldY9DgJtWxlG0kgYbDgs1&#10;dnSoqfwqHkbBgP5jk2fV/ZAf385j0t5X19u7Ui+zMXsF4Wn0/+G/9lkriBP4/RJ+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z4EfDAAAA2wAAAA8AAAAAAAAAAAAA&#10;AAAAoQIAAGRycy9kb3ducmV2LnhtbFBLBQYAAAAABAAEAPkAAACRAwAAAAA=&#10;" strokecolor="black [3200]" strokeweight=".5pt">
                  <v:stroke endarrow="block" joinstyle="miter"/>
                </v:shape>
                <v:shape id="Straight Arrow Connector 83" o:spid="_x0000_s1047" type="#_x0000_t32" style="position:absolute;left:12819;top:7212;width:10117;height:65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M4RsQAAADbAAAADwAAAGRycy9kb3ducmV2LnhtbESPQWvCQBSE70L/w/IEL1I3TcSW6Cql&#10;UuzVVKS9vWafSTD7NuRtNf77bqHQ4zAz3zCrzeBadaFeGs8GHmYJKOLS24YrA4f31/snUBKQLbae&#10;ycCNBDbru9EKc+uvvKdLESoVISw5GqhD6HKtpazJocx8Rxy9k+8dhij7StserxHuWp0myUI7bDgu&#10;1NjRS03lufh2BrIwl3Q//3iU4rP6mtptlslxZ8xkPDwvQQUawn/4r/1mDaQL+P0Sf4B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gzhGxAAAANsAAAAPAAAAAAAAAAAA&#10;AAAAAKECAABkcnMvZG93bnJldi54bWxQSwUGAAAAAAQABAD5AAAAkgMAAAAA&#10;" strokecolor="black [3200]" strokeweight=".5pt">
                  <v:stroke endarrow="block" joinstyle="miter"/>
                </v:shape>
                <v:shape id="Straight Arrow Connector 84" o:spid="_x0000_s1048" type="#_x0000_t32" style="position:absolute;left:12819;top:19870;width:10117;height:50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bq8MAAADbAAAADwAAAGRycy9kb3ducmV2LnhtbESPS4vCQBCE7wv+h6EFbzpR8JXNRHwg&#10;6N58sOcm05uEzfTEzGjiv3eEhT0WVfUVlaw6U4kHNa60rGA8ikAQZ1aXnCu4XvbDBQjnkTVWlknB&#10;kxys0t5HgrG2LZ/ocfa5CBB2MSoovK9jKV1WkEE3sjVx8H5sY9AH2eRSN9gGuKnkJIpm0mDJYaHA&#10;mrYFZb/nu1HQov9ebtb5bbvZHQ/dtLrNLtcvpQb9bv0JwlPn/8N/7YNWMJnD+0v4ATJ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t26vDAAAA2wAAAA8AAAAAAAAAAAAA&#10;AAAAoQIAAGRycy9kb3ducmV2LnhtbFBLBQYAAAAABAAEAPkAAACRAwAAAAA=&#10;" strokecolor="black [3200]" strokeweight=".5pt">
                  <v:stroke endarrow="block" joinstyle="miter"/>
                </v:shape>
                <v:shape id="Straight Arrow Connector 85" o:spid="_x0000_s1049" type="#_x0000_t32" style="position:absolute;left:9810;top:2952;width:13126;height:96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Jr8EAAADbAAAADwAAAGRycy9kb3ducmV2LnhtbERPTWvCQBC9F/wPywheim6aiErqKkUp&#10;7dVURG/T7DQJzc6GzKrpv+8eCj0+3vd6O7hW3aiXxrOBp1kCirj0tuHKwPHjdboCJQHZYuuZDPyQ&#10;wHYzelhjbv2dD3QrQqViCEuOBuoQulxrKWtyKDPfEUfuy/cOQ4R9pW2P9xjuWp0myUI7bDg21NjR&#10;rqbyu7g6A1mYS3qYn5dSXKrPR7vPMjm9GTMZDy/PoAIN4V/85363BtI4Nn6JP0Bv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UAmvwQAAANsAAAAPAAAAAAAAAAAAAAAA&#10;AKECAABkcnMvZG93bnJldi54bWxQSwUGAAAAAAQABAD5AAAAjwMAAAAA&#10;" strokecolor="black [3200]" strokeweight=".5pt">
                  <v:stroke endarrow="block" joinstyle="miter"/>
                </v:shape>
                <v:shape id="Straight Arrow Connector 86" o:spid="_x0000_s1050" type="#_x0000_t32" style="position:absolute;left:10744;top:20801;width:12192;height:85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7qQsIAAADbAAAADwAAAGRycy9kb3ducmV2LnhtbESPT4vCMBTE7wt+h/AEb2uqoKy1qfgH&#10;Qfe2Kp4fzbMtNi+1ibZ+e7MgeBxm5jdMsuhMJR7UuNKygtEwAkGcWV1yruB03H7/gHAeWWNlmRQ8&#10;ycEi7X0lGGvb8h89Dj4XAcIuRgWF93UspcsKMuiGtiYO3sU2Bn2QTS51g22Am0qOo2gqDZYcFgqs&#10;aV1Qdj3cjYIW/Xm2Wua39Wqz33WT6jY9nn6VGvS75RyEp85/wu/2TisYz+D/S/gBM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T7qQsIAAADbAAAADwAAAAAAAAAAAAAA&#10;AAChAgAAZHJzL2Rvd25yZXYueG1sUEsFBgAAAAAEAAQA+QAAAJADAAAAAA==&#10;" strokecolor="black [3200]" strokeweight=".5pt">
                  <v:stroke endarrow="block" joinstyle="miter"/>
                </v:shape>
                <v:shape id="Straight Arrow Connector 87" o:spid="_x0000_s1051" type="#_x0000_t32" style="position:absolute;left:36937;top:2376;width:51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3VAr8AAADbAAAADwAAAGRycy9kb3ducmV2LnhtbERPy4rCMBTdD/gP4QruxlRF0WoUHwg6&#10;O6u4vjTXttjc1Cba+vdmIczycN6LVWtK8aLaFZYVDPoRCOLU6oIzBZfz/ncKwnlkjaVlUvAmB6tl&#10;52eBsbYNn+iV+EyEEHYxKsi9r2IpXZqTQde3FXHgbrY26AOsM6lrbEK4KeUwiibSYMGhIceKtjml&#10;9+RpFDTor7PNOntsN7vjoR2Xj8n58qdUr9uu5yA8tf5f/HUftIJRWB++hB8gl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d3VAr8AAADbAAAADwAAAAAAAAAAAAAAAACh&#10;AgAAZHJzL2Rvd25yZXYueG1sUEsFBgAAAAAEAAQA+QAAAI0DAAAAAA==&#10;" strokecolor="black [3200]" strokeweight=".5pt">
                  <v:stroke endarrow="block" joinstyle="miter"/>
                </v:shape>
                <v:shape id="Straight Arrow Connector 88" o:spid="_x0000_s1052" type="#_x0000_t32" style="position:absolute;left:36937;top:6930;width:51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FwmcIAAADbAAAADwAAAGRycy9kb3ducmV2LnhtbESPS6vCMBSE9xf8D+EI7q6piqLVKD4Q&#10;9O584PrQHNtic1KbaOu/N4Jwl8PMfMPMFo0pxJMql1tW0OtGIIgTq3NOFZxP298xCOeRNRaWScGL&#10;HCzmrZ8ZxtrWfKDn0aciQNjFqCDzvoyldElGBl3XlsTBu9rKoA+ySqWusA5wU8h+FI2kwZzDQoYl&#10;rTNKbseHUVCjv0xWy/S+Xm32u2ZY3Een859SnXaznILw1Pj/8Le90woGPfh8CT9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pFwmcIAAADbAAAADwAAAAAAAAAAAAAA&#10;AAChAgAAZHJzL2Rvd25yZXYueG1sUEsFBgAAAAAEAAQA+QAAAJADAAAAAA==&#10;" strokecolor="black [3200]" strokeweight=".5pt">
                  <v:stroke endarrow="block" joinstyle="miter"/>
                </v:shape>
                <v:shape id="Straight Arrow Connector 89" o:spid="_x0000_s1053" type="#_x0000_t32" style="position:absolute;left:36957;top:10921;width:51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9r6sQAAADcAAAADwAAAGRycy9kb3ducmV2LnhtbESPT2vCQBDF7wW/wzJCb3Wj0FCjq/iH&#10;gnqriuchOybB7GzMbk367TsHwdsM7817v5kve1erB7Wh8mxgPEpAEefeVlwYOJ++P75AhYhssfZM&#10;Bv4owHIxeJtjZn3HP/Q4xkJJCIcMDZQxNpnWIS/JYRj5hli0q28dRlnbQtsWOwl3tZ4kSaodViwN&#10;JTa0KSm/HX+dgQ7jZbpeFffNervf9Z/1PT2dD8a8D/vVDFSkPr7Mz+udFfxU8OUZmUA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n2vqxAAAANwAAAAPAAAAAAAAAAAA&#10;AAAAAKECAABkcnMvZG93bnJldi54bWxQSwUGAAAAAAQABAD5AAAAkgMAAAAA&#10;" strokecolor="black [3200]" strokeweight=".5pt">
                  <v:stroke endarrow="block" joinstyle="miter"/>
                </v:shape>
                <v:shape id="Straight Arrow Connector 90" o:spid="_x0000_s1054" type="#_x0000_t32" style="position:absolute;left:36957;top:15601;width:51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POccIAAADcAAAADwAAAGRycy9kb3ducmV2LnhtbERPS2vCQBC+F/wPyxS81Y2CQVNXSSxC&#10;2psPPA/ZaRKanY3ZbRL/fbcgeJuP7zmb3Wga0VPnassK5rMIBHFhdc2lgsv58LYC4TyyxsYyKbiT&#10;g9128rLBRNuBj9SffClCCLsEFVTet4mUrqjIoJvZljhw37Yz6APsSqk7HEK4aeQiimJpsObQUGFL&#10;+4qKn9OvUTCgv66ztLzts4/PfFw2t/h8+VJq+jqm7yA8jf4pfrhzHebHc/h/Jlwgt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POccIAAADcAAAADwAAAAAAAAAAAAAA&#10;AAChAgAAZHJzL2Rvd25yZXYueG1sUEsFBgAAAAAEAAQA+QAAAJADAAAAAA==&#10;" strokecolor="black [3200]" strokeweight=".5pt">
                  <v:stroke endarrow="block" joinstyle="miter"/>
                </v:shape>
                <v:shape id="Straight Arrow Connector 91" o:spid="_x0000_s1055" type="#_x0000_t32" style="position:absolute;left:36918;top:20351;width:51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FQBsEAAADcAAAADwAAAGRycy9kb3ducmV2LnhtbERPS4vCMBC+C/6HMII3TVewaLep+EDQ&#10;vfnA89DMtmWbSW2irf/eLCzsbT6+56Sr3tTiSa2rLCv4mEYgiHOrKy4UXC/7yQKE88gaa8uk4EUO&#10;VtlwkGKibccnep59IUIIuwQVlN43iZQuL8mgm9qGOHDftjXoA2wLqVvsQrip5SyKYmmw4tBQYkPb&#10;kvKf88Mo6NDflpt1cd9udsdDP6/v8eX6pdR41K8/QXjq/b/4z33QYX48g99nwgUy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AVAGwQAAANwAAAAPAAAAAAAAAAAAAAAA&#10;AKECAABkcnMvZG93bnJldi54bWxQSwUGAAAAAAQABAD5AAAAjwMAAAAA&#10;" strokecolor="black [3200]" strokeweight=".5pt">
                  <v:stroke endarrow="block" joinstyle="miter"/>
                </v:shape>
                <v:shape id="Straight Arrow Connector 92" o:spid="_x0000_s1056" type="#_x0000_t32" style="position:absolute;left:36957;top:24618;width:51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31ncIAAADcAAAADwAAAGRycy9kb3ducmV2LnhtbERPTWvCQBC9F/oflin0Vje1GDS6SrQU&#10;0t6M4nnIjklodjbJrkn8991Cobd5vM/Z7CbTiIF6V1tW8DqLQBAXVtdcKjifPl6WIJxH1thYJgV3&#10;crDbPj5sMNF25CMNuS9FCGGXoILK+zaR0hUVGXQz2xIH7mp7gz7AvpS6xzGEm0bOoyiWBmsODRW2&#10;dKio+M5vRsGI/rLap2V32L9/ZtOi6eLT+Uup56cpXYPwNPl/8Z8702F+/Aa/z4QL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31ncIAAADcAAAADwAAAAAAAAAAAAAA&#10;AAChAgAAZHJzL2Rvd25yZXYueG1sUEsFBgAAAAAEAAQA+QAAAJADAAAAAA==&#10;" strokecolor="black [3200]" strokeweight=".5pt">
                  <v:stroke endarrow="block" joinstyle="miter"/>
                </v:shape>
                <v:shape id="Straight Arrow Connector 93" o:spid="_x0000_s1057" type="#_x0000_t32" style="position:absolute;left:36937;top:28850;width:51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t6cIAAADcAAAADwAAAGRycy9kb3ducmV2LnhtbERPTWvCQBC9F/oflin0VjeVGjS6SrQU&#10;0t6M4nnIjklodjbJrkn8991Cobd5vM/Z7CbTiIF6V1tW8DqLQBAXVtdcKjifPl6WIJxH1thYJgV3&#10;crDbPj5sMNF25CMNuS9FCGGXoILK+zaR0hUVGXQz2xIH7mp7gz7AvpS6xzGEm0bOoyiWBmsODRW2&#10;dKio+M5vRsGI/rLap2V32L9/ZtOi6eLT+Uup56cpXYPwNPl/8Z8702F+/Aa/z4QL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Rt6cIAAADcAAAADwAAAAAAAAAAAAAA&#10;AAChAgAAZHJzL2Rvd25yZXYueG1sUEsFBgAAAAAEAAQA+QAAAJADAAAAAA==&#10;" strokecolor="black [3200]" strokeweight=".5pt">
                  <v:stroke endarrow="block" joinstyle="miter"/>
                </v:shape>
                <v:shape id="Text Box 197" o:spid="_x0000_s1058" type="#_x0000_t202" style="position:absolute;left:42862;top:5555;width:238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xMO8IA&#10;AADcAAAADwAAAGRycy9kb3ducmV2LnhtbERPy6rCMBDdC/5DmAvuNL2CItUoUhBFdOFj425uM7bl&#10;NpPaRK1+vREEd3M4z5nMGlOKG9WusKzgtxeBIE6tLjhTcDwsuiMQziNrLC2Tggc5mE3brQnG2t55&#10;R7e9z0QIYRejgtz7KpbSpTkZdD1bEQfubGuDPsA6k7rGewg3pexH0VAaLDg05FhRklP6v78aBetk&#10;scXdX9+MnmWy3Jzn1eV4GijV+WnmYxCeGv8Vf9wrHeYPB/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PEw7wgAAANwAAAAPAAAAAAAAAAAAAAAAAJgCAABkcnMvZG93&#10;bnJldi54bWxQSwUGAAAAAAQABAD1AAAAhwMAAAAA&#10;" filled="f" stroked="f" strokeweight=".5pt">
                  <v:textbox>
                    <w:txbxContent>
                      <w:p w:rsidR="00D37EA1" w:rsidRPr="00F84884" w:rsidRDefault="00D37EA1" w:rsidP="005430A2">
                        <w:pPr>
                          <w:pStyle w:val="NormalWeb"/>
                          <w:spacing w:before="0" w:beforeAutospacing="0" w:after="160" w:afterAutospacing="0" w:line="256" w:lineRule="auto"/>
                        </w:pPr>
                        <w:r w:rsidRPr="00F84884">
                          <w:rPr>
                            <w:rFonts w:eastAsia="Calibri"/>
                          </w:rPr>
                          <w:t>e</w:t>
                        </w:r>
                      </w:p>
                    </w:txbxContent>
                  </v:textbox>
                </v:shape>
                <v:shape id="Text Box 197" o:spid="_x0000_s1059" type="#_x0000_t202" style="position:absolute;left:42862;top:9806;width:2381;height:28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7STMQA&#10;AADcAAAADwAAAGRycy9kb3ducmV2LnhtbERPS2vCQBC+C/0PyxR6041Cg0TXEAJiKe3Bx8XbmB2T&#10;YHY2ZrdJ2l/fLRS8zcf3nHU6mkb01LnasoL5LAJBXFhdc6ngdNxOlyCcR9bYWCYF3+Qg3TxN1pho&#10;O/Ce+oMvRQhhl6CCyvs2kdIVFRl0M9sSB+5qO4M+wK6UusMhhJtGLqIolgZrDg0VtpRXVNwOX0bB&#10;e779xP1lYZY/Tb77uGbt/XR+VerlecxWIDyN/iH+d7/pMD+O4e+ZcIH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u0kzEAAAA3AAAAA8AAAAAAAAAAAAAAAAAmAIAAGRycy9k&#10;b3ducmV2LnhtbFBLBQYAAAAABAAEAPUAAACJAwAAAAA=&#10;" filled="f" stroked="f" strokeweight=".5pt">
                  <v:textbox>
                    <w:txbxContent>
                      <w:p w:rsidR="00D37EA1" w:rsidRDefault="00D37EA1" w:rsidP="005430A2">
                        <w:pPr>
                          <w:pStyle w:val="NormalWeb"/>
                          <w:spacing w:before="0" w:beforeAutospacing="0" w:after="160" w:afterAutospacing="0" w:line="254" w:lineRule="auto"/>
                        </w:pPr>
                        <w:r>
                          <w:rPr>
                            <w:rFonts w:eastAsia="Calibri"/>
                          </w:rPr>
                          <w:t>e</w:t>
                        </w:r>
                      </w:p>
                    </w:txbxContent>
                  </v:textbox>
                </v:shape>
                <v:shape id="Text Box 197" o:spid="_x0000_s1060" type="#_x0000_t202" style="position:absolute;left:42862;top:14283;width:238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J318MA&#10;AADcAAAADwAAAGRycy9kb3ducmV2LnhtbERPS4vCMBC+C/6HMII3TRV0S9coUhBF1oOPi7exGduy&#10;zaQ2Ubv76zfCgrf5+J4zW7SmEg9qXGlZwWgYgSDOrC45V3A6rgYxCOeRNVaWScEPOVjMu50ZJto+&#10;eU+Pg89FCGGXoILC+zqR0mUFGXRDWxMH7mobgz7AJpe6wWcIN5UcR9FUGiw5NBRYU1pQ9n24GwXb&#10;dLXD/WVs4t8qXX9dl/XtdJ4o1e+1y08Qnlr/Fv+7NzrMn37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J318MAAADcAAAADwAAAAAAAAAAAAAAAACYAgAAZHJzL2Rv&#10;d25yZXYueG1sUEsFBgAAAAAEAAQA9QAAAIgDAAAAAA==&#10;" filled="f" stroked="f" strokeweight=".5pt">
                  <v:textbox>
                    <w:txbxContent>
                      <w:p w:rsidR="00D37EA1" w:rsidRDefault="00D37EA1" w:rsidP="005430A2">
                        <w:pPr>
                          <w:pStyle w:val="NormalWeb"/>
                          <w:spacing w:before="0" w:beforeAutospacing="0" w:after="160" w:afterAutospacing="0" w:line="254" w:lineRule="auto"/>
                        </w:pPr>
                        <w:r>
                          <w:rPr>
                            <w:rFonts w:eastAsia="Calibri"/>
                          </w:rPr>
                          <w:t>e</w:t>
                        </w:r>
                      </w:p>
                    </w:txbxContent>
                  </v:textbox>
                </v:shape>
                <v:shape id="Text Box 197" o:spid="_x0000_s1061" type="#_x0000_t202" style="position:absolute;left:42862;top:19065;width:238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3jpcYA&#10;AADcAAAADwAAAGRycy9kb3ducmV2LnhtbESPT2vCQBDF70K/wzIFb7pRqEjqRiQglmIPWi+9TbOT&#10;P5idjdmtpv30nYPgbYb35r3frNaDa9WV+tB4NjCbJqCIC28brgycPreTJagQkS22nsnALwVYZ0+j&#10;FabW3/hA12OslIRwSNFAHWOXah2KmhyGqe+IRSt97zDK2lfa9niTcNfqeZIstMOGpaHGjvKaivPx&#10;xxl4z7cfePieu+Vfm+/25aa7nL5ejBk/D5tXUJGG+DDfr9+s4C+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3jpcYAAADcAAAADwAAAAAAAAAAAAAAAACYAgAAZHJz&#10;L2Rvd25yZXYueG1sUEsFBgAAAAAEAAQA9QAAAIsDAAAAAA==&#10;" filled="f" stroked="f" strokeweight=".5pt">
                  <v:textbox>
                    <w:txbxContent>
                      <w:p w:rsidR="00D37EA1" w:rsidRDefault="00D37EA1" w:rsidP="005430A2">
                        <w:pPr>
                          <w:pStyle w:val="NormalWeb"/>
                          <w:spacing w:before="0" w:beforeAutospacing="0" w:after="160" w:afterAutospacing="0" w:line="254" w:lineRule="auto"/>
                        </w:pPr>
                        <w:r>
                          <w:rPr>
                            <w:rFonts w:eastAsia="Calibri"/>
                          </w:rPr>
                          <w:t>e</w:t>
                        </w:r>
                      </w:p>
                    </w:txbxContent>
                  </v:textbox>
                </v:shape>
                <v:shape id="Text Box 197" o:spid="_x0000_s1062" type="#_x0000_t202" style="position:absolute;left:42862;top:23497;width:238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GPsQA&#10;AADcAAAADwAAAGRycy9kb3ducmV2LnhtbERPTWvCQBC9F/wPywi9NZsKDTbNKhKQlqIHYy69TbNj&#10;EpqdTbNbTf31riB4m8f7nGw5mk4caXCtZQXPUQyCuLK65VpBuV8/zUE4j6yxs0wK/snBcjF5yDDV&#10;9sQ7Oha+FiGEXYoKGu/7VEpXNWTQRbYnDtzBDgZ9gEMt9YCnEG46OYvjRBpsOTQ02FPeUPVT/BkF&#10;n/l6i7vvmZmfu/x9c1j1v+XXi1KP03H1BsLT6O/im/tDh/nJK1yfCRf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xRj7EAAAA3AAAAA8AAAAAAAAAAAAAAAAAmAIAAGRycy9k&#10;b3ducmV2LnhtbFBLBQYAAAAABAAEAPUAAACJAwAAAAA=&#10;" filled="f" stroked="f" strokeweight=".5pt">
                  <v:textbox>
                    <w:txbxContent>
                      <w:p w:rsidR="00D37EA1" w:rsidRDefault="00D37EA1" w:rsidP="005430A2">
                        <w:pPr>
                          <w:pStyle w:val="NormalWeb"/>
                          <w:spacing w:before="0" w:beforeAutospacing="0" w:after="160" w:afterAutospacing="0" w:line="254" w:lineRule="auto"/>
                        </w:pPr>
                        <w:r>
                          <w:rPr>
                            <w:rFonts w:eastAsia="Calibri"/>
                          </w:rPr>
                          <w:t>e</w:t>
                        </w:r>
                      </w:p>
                    </w:txbxContent>
                  </v:textbox>
                </v:shape>
                <v:shape id="Text Box 197" o:spid="_x0000_s1063" type="#_x0000_t202" style="position:absolute;left:42862;top:27888;width:238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5fs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3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J5fsYAAADcAAAADwAAAAAAAAAAAAAAAACYAgAAZHJz&#10;L2Rvd25yZXYueG1sUEsFBgAAAAAEAAQA9QAAAIsDAAAAAA==&#10;" filled="f" stroked="f" strokeweight=".5pt">
                  <v:textbox>
                    <w:txbxContent>
                      <w:p w:rsidR="00D37EA1" w:rsidRDefault="00D37EA1" w:rsidP="005430A2">
                        <w:pPr>
                          <w:pStyle w:val="NormalWeb"/>
                          <w:spacing w:before="0" w:beforeAutospacing="0" w:after="160" w:afterAutospacing="0" w:line="254" w:lineRule="auto"/>
                        </w:pPr>
                        <w:r>
                          <w:rPr>
                            <w:rFonts w:eastAsia="Calibri"/>
                          </w:rPr>
                          <w:t>e</w:t>
                        </w:r>
                      </w:p>
                    </w:txbxContent>
                  </v:textbox>
                </v:shape>
                <v:shape id="Text Box 197" o:spid="_x0000_s1064" type="#_x0000_t202" style="position:absolute;left:42862;top:1018;width:238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c5cQA&#10;AADcAAAADwAAAGRycy9kb3ducmV2LnhtbERPS2vCQBC+F/wPywje6iaCraSuEgJSkfbg4+JtzI5J&#10;aHY2za5J7K/vFgre5uN7znI9mFp01LrKsoJ4GoEgzq2uuFBwOm6eFyCcR9ZYWyYFd3KwXo2elpho&#10;2/OeuoMvRAhhl6CC0vsmkdLlJRl0U9sQB+5qW4M+wLaQusU+hJtazqLoRRqsODSU2FBWUv51uBkF&#10;u2zzifvLzCx+6uz945o236fzXKnJeEjfQHga/EP8797qMP81hr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e3OXEAAAA3AAAAA8AAAAAAAAAAAAAAAAAmAIAAGRycy9k&#10;b3ducmV2LnhtbFBLBQYAAAAABAAEAPUAAACJAwAAAAA=&#10;" filled="f" stroked="f" strokeweight=".5pt">
                  <v:textbox>
                    <w:txbxContent>
                      <w:p w:rsidR="00D37EA1" w:rsidRDefault="00D37EA1" w:rsidP="005430A2">
                        <w:pPr>
                          <w:pStyle w:val="NormalWeb"/>
                          <w:spacing w:before="0" w:beforeAutospacing="0" w:after="160" w:afterAutospacing="0" w:line="254" w:lineRule="auto"/>
                        </w:pPr>
                        <w:r>
                          <w:rPr>
                            <w:rFonts w:eastAsia="Calibri"/>
                          </w:rPr>
                          <w:t>e</w:t>
                        </w:r>
                      </w:p>
                    </w:txbxContent>
                  </v:textbox>
                </v:shape>
                <v:shape id="Text Box 197" o:spid="_x0000_s1065" type="#_x0000_t202" style="position:absolute;left:37995;top:2376;width:238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xCksMA&#10;AADcAAAADwAAAGRycy9kb3ducmV2LnhtbERPS4vCMBC+L+x/CLPgbU0t+KBrFCnIiujBx8XbbDO2&#10;xWbSbaJWf70RBG/z8T1nPG1NJS7UuNKygl43AkGcWV1yrmC/m3+PQDiPrLGyTApu5GA6+fwYY6Lt&#10;lTd02fpchBB2CSoovK8TKV1WkEHXtTVx4I62MegDbHKpG7yGcFPJOIoG0mDJoaHAmtKCstP2bBQs&#10;0/kaN3+xGd2r9Hd1nNX/+0Nfqc5XO/sB4an1b/HLvdBh/jCG5zPhAj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xCksMAAADcAAAADwAAAAAAAAAAAAAAAACYAgAAZHJzL2Rv&#10;d25yZXYueG1sUEsFBgAAAAAEAAQA9QAAAIgDAAAAAA==&#10;" filled="f" stroked="f" strokeweight=".5pt">
                  <v:textbox>
                    <w:txbxContent>
                      <w:p w:rsidR="00D37EA1" w:rsidRDefault="00D37EA1" w:rsidP="005430A2">
                        <w:pPr>
                          <w:pStyle w:val="NormalWeb"/>
                          <w:spacing w:before="0" w:beforeAutospacing="0" w:after="160" w:afterAutospacing="0" w:line="252" w:lineRule="auto"/>
                        </w:pPr>
                        <w:r>
                          <w:rPr>
                            <w:rFonts w:eastAsia="Calibri"/>
                          </w:rPr>
                          <w:t>1</w:t>
                        </w:r>
                      </w:p>
                    </w:txbxContent>
                  </v:textbox>
                </v:shape>
                <v:shape id="Text Box 197" o:spid="_x0000_s1066" type="#_x0000_t202" style="position:absolute;left:37995;top:7625;width:2381;height:28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DnCcMA&#10;AADcAAAADwAAAGRycy9kb3ducmV2LnhtbERPS4vCMBC+L/gfwgje1lQX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DnCcMAAADcAAAADwAAAAAAAAAAAAAAAACYAgAAZHJzL2Rv&#10;d25yZXYueG1sUEsFBgAAAAAEAAQA9QAAAIgDAAAAAA==&#10;" filled="f" stroked="f" strokeweight=".5pt">
                  <v:textbox>
                    <w:txbxContent>
                      <w:p w:rsidR="00D37EA1" w:rsidRDefault="00D37EA1" w:rsidP="005430A2">
                        <w:pPr>
                          <w:pStyle w:val="NormalWeb"/>
                          <w:spacing w:before="0" w:beforeAutospacing="0" w:after="160" w:afterAutospacing="0" w:line="252" w:lineRule="auto"/>
                        </w:pPr>
                        <w:r>
                          <w:rPr>
                            <w:rFonts w:eastAsia="Calibri"/>
                          </w:rPr>
                          <w:t>1</w:t>
                        </w:r>
                      </w:p>
                    </w:txbxContent>
                  </v:textbox>
                </v:shape>
                <v:shape id="Text Box 197" o:spid="_x0000_s1067" type="#_x0000_t202" style="position:absolute;left:37995;top:29152;width:238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l/fcMA&#10;AADcAAAADwAAAGRycy9kb3ducmV2LnhtbERPS4vCMBC+L/gfwgje1lRZ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l/fcMAAADcAAAADwAAAAAAAAAAAAAAAACYAgAAZHJzL2Rv&#10;d25yZXYueG1sUEsFBgAAAAAEAAQA9QAAAIgDAAAAAA==&#10;" filled="f" stroked="f" strokeweight=".5pt">
                  <v:textbox>
                    <w:txbxContent>
                      <w:p w:rsidR="00D37EA1" w:rsidRDefault="00D37EA1" w:rsidP="005430A2">
                        <w:pPr>
                          <w:pStyle w:val="NormalWeb"/>
                          <w:spacing w:before="0" w:beforeAutospacing="0" w:after="160" w:afterAutospacing="0" w:line="252" w:lineRule="auto"/>
                        </w:pPr>
                        <w:r>
                          <w:rPr>
                            <w:rFonts w:eastAsia="Calibri"/>
                          </w:rPr>
                          <w:t>1</w:t>
                        </w:r>
                      </w:p>
                    </w:txbxContent>
                  </v:textbox>
                </v:shape>
                <v:shape id="Text Box 197" o:spid="_x0000_s1068" type="#_x0000_t202" style="position:absolute;left:37995;top:24618;width:238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Xa5sQA&#10;AADcAAAADwAAAGRycy9kb3ducmV2LnhtbERPTWvCQBC9F/wPyxR6q5sKakhdJQSCpehB66W3aXZM&#10;QrOzMbsmaX99VxB6m8f7nNVmNI3oqXO1ZQUv0wgEcWF1zaWC00f+HINwHlljY5kU/JCDzXrysMJE&#10;24EP1B99KUIIuwQVVN63iZSuqMigm9qWOHBn2xn0AXal1B0OIdw0chZFC2mw5tBQYUtZRcX38WoU&#10;vGf5Hg9fMxP/Ntl2d07by+lzrtTT45i+gvA0+n/x3f2mw/zl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l2ubEAAAA3AAAAA8AAAAAAAAAAAAAAAAAmAIAAGRycy9k&#10;b3ducmV2LnhtbFBLBQYAAAAABAAEAPUAAACJAwAAAAA=&#10;" filled="f" stroked="f" strokeweight=".5pt">
                  <v:textbox>
                    <w:txbxContent>
                      <w:p w:rsidR="00D37EA1" w:rsidRDefault="00D37EA1" w:rsidP="005430A2">
                        <w:pPr>
                          <w:pStyle w:val="NormalWeb"/>
                          <w:spacing w:before="0" w:beforeAutospacing="0" w:after="160" w:afterAutospacing="0" w:line="252" w:lineRule="auto"/>
                        </w:pPr>
                        <w:r>
                          <w:rPr>
                            <w:rFonts w:eastAsia="Calibri"/>
                          </w:rPr>
                          <w:t>1</w:t>
                        </w:r>
                      </w:p>
                    </w:txbxContent>
                  </v:textbox>
                </v:shape>
                <v:shape id="Text Box 197" o:spid="_x0000_s1069" type="#_x0000_t202" style="position:absolute;left:37890;top:15995;width:238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dEkcMA&#10;AADcAAAADwAAAGRycy9kb3ducmV2LnhtbERPS4vCMBC+C/6HMII3TRV0S9coUhBF1oOPi7exGduy&#10;zaQ2Ubv76zfCgrf5+J4zW7SmEg9qXGlZwWgYgSDOrC45V3A6rgYxCOeRNVaWScEPOVjMu50ZJto+&#10;eU+Pg89FCGGXoILC+zqR0mUFGXRDWxMH7mobgz7AJpe6wWcIN5UcR9FUGiw5NBRYU1pQ9n24GwXb&#10;dLXD/WVs4t8qXX9dl/XtdJ4o1e+1y08Qnlr/Fv+7NzrM/5j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dEkcMAAADcAAAADwAAAAAAAAAAAAAAAACYAgAAZHJzL2Rv&#10;d25yZXYueG1sUEsFBgAAAAAEAAQA9QAAAIgDAAAAAA==&#10;" filled="f" stroked="f" strokeweight=".5pt">
                  <v:textbox>
                    <w:txbxContent>
                      <w:p w:rsidR="00D37EA1" w:rsidRDefault="00D37EA1" w:rsidP="005430A2">
                        <w:pPr>
                          <w:pStyle w:val="NormalWeb"/>
                          <w:spacing w:before="0" w:beforeAutospacing="0" w:after="160" w:afterAutospacing="0" w:line="252" w:lineRule="auto"/>
                        </w:pPr>
                        <w:r>
                          <w:rPr>
                            <w:rFonts w:eastAsia="Calibri"/>
                          </w:rPr>
                          <w:t>1</w:t>
                        </w:r>
                      </w:p>
                    </w:txbxContent>
                  </v:textbox>
                </v:shape>
                <v:shape id="Text Box 197" o:spid="_x0000_s1070" type="#_x0000_t202" style="position:absolute;left:37995;top:20351;width:238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1eM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1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1eMYAAADcAAAADwAAAAAAAAAAAAAAAACYAgAAZHJz&#10;L2Rvd25yZXYueG1sUEsFBgAAAAAEAAQA9QAAAIsDAAAAAA==&#10;" filled="f" stroked="f" strokeweight=".5pt">
                  <v:textbox>
                    <w:txbxContent>
                      <w:p w:rsidR="00D37EA1" w:rsidRDefault="00D37EA1" w:rsidP="005430A2">
                        <w:pPr>
                          <w:pStyle w:val="NormalWeb"/>
                          <w:spacing w:before="0" w:beforeAutospacing="0" w:after="160" w:afterAutospacing="0" w:line="252" w:lineRule="auto"/>
                        </w:pPr>
                        <w:r>
                          <w:rPr>
                            <w:rFonts w:eastAsia="Calibri"/>
                          </w:rPr>
                          <w:t>1</w:t>
                        </w:r>
                      </w:p>
                    </w:txbxContent>
                  </v:textbox>
                </v:shape>
                <v:shape id="Text Box 197" o:spid="_x0000_s1071" type="#_x0000_t202" style="position:absolute;left:37995;top:11426;width:238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jQ48MA&#10;AADcAAAADwAAAGRycy9kb3ducmV2LnhtbERPS4vCMBC+L/gfwgje1lRhXa1GkYKsiHvwcfE2NmNb&#10;bCa1iVr99ZsFwdt8fM+ZzBpTihvVrrCsoNeNQBCnVhecKdjvFp9DEM4jaywtk4IHOZhNWx8TjLW9&#10;84ZuW5+JEMIuRgW591UspUtzMui6tiIO3MnWBn2AdSZ1jfcQbkrZj6KBNFhwaMixoiSn9Ly9GgWr&#10;ZPGLm2PfDJ9l8rM+zavL/vClVKfdzMcgPDX+LX65lzrM/x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jQ48MAAADcAAAADwAAAAAAAAAAAAAAAACYAgAAZHJzL2Rv&#10;d25yZXYueG1sUEsFBgAAAAAEAAQA9QAAAIgDAAAAAA==&#10;" filled="f" stroked="f" strokeweight=".5pt">
                  <v:textbox>
                    <w:txbxContent>
                      <w:p w:rsidR="00D37EA1" w:rsidRDefault="00D37EA1" w:rsidP="005430A2">
                        <w:pPr>
                          <w:pStyle w:val="NormalWeb"/>
                          <w:spacing w:before="0" w:beforeAutospacing="0" w:after="160" w:afterAutospacing="0" w:line="252" w:lineRule="auto"/>
                        </w:pPr>
                        <w:r>
                          <w:rPr>
                            <w:rFonts w:eastAsia="Calibri"/>
                          </w:rPr>
                          <w:t>1</w:t>
                        </w:r>
                      </w:p>
                    </w:txbxContent>
                  </v:textbox>
                </v:shape>
                <v:shape id="Text Box 197" o:spid="_x0000_s1072" type="#_x0000_t202" style="position:absolute;left:14173;top:5546;width:2381;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cJWcYA&#10;AADcAAAADwAAAGRycy9kb3ducmV2LnhtbESPT2vCQBDF7wW/wzIFb3VTQQnRVSQgLWIP/rl4m2bH&#10;JDQ7G7Orxn5651DobYb35r3fzJe9a9SNulB7NvA+SkARF97WXBo4HtZvKagQkS02nsnAgwIsF4OX&#10;OWbW33lHt30slYRwyNBAFWObaR2KihyGkW+JRTv7zmGUtSu17fAu4a7R4ySZaoc1S0OFLeUVFT/7&#10;qzOwyddfuPseu/S3yT+251V7OZ4mxgxf+9UMVKQ+/pv/rj+t4KeCL8/IBHr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cJWcYAAADcAAAADwAAAAAAAAAAAAAAAACYAgAAZHJz&#10;L2Rvd25yZXYueG1sUEsFBgAAAAAEAAQA9QAAAIsDAAAAAA==&#10;" filled="f" stroked="f" strokeweight=".5pt">
                  <v:textbox>
                    <w:txbxContent>
                      <w:p w:rsidR="00D37EA1" w:rsidRDefault="00D37EA1" w:rsidP="005430A2">
                        <w:pPr>
                          <w:pStyle w:val="NormalWeb"/>
                          <w:spacing w:before="0" w:beforeAutospacing="0" w:after="160" w:afterAutospacing="0" w:line="252" w:lineRule="auto"/>
                        </w:pPr>
                        <w:r>
                          <w:rPr>
                            <w:rFonts w:eastAsia="Calibri"/>
                          </w:rPr>
                          <w:t>1</w:t>
                        </w:r>
                      </w:p>
                    </w:txbxContent>
                  </v:textbox>
                </v:shape>
                <w10:anchorlock/>
              </v:group>
            </w:pict>
          </mc:Fallback>
        </mc:AlternateContent>
      </w:r>
    </w:p>
    <w:p w:rsidR="005430A2" w:rsidRPr="00BD4E37" w:rsidRDefault="005430A2" w:rsidP="005430A2">
      <w:pPr>
        <w:spacing w:line="360" w:lineRule="auto"/>
        <w:rPr>
          <w:rFonts w:ascii="Times New Roman" w:hAnsi="Times New Roman" w:cs="Times New Roman"/>
          <w:noProof/>
          <w:lang w:eastAsia="en-AU"/>
        </w:rPr>
      </w:pPr>
      <w:r w:rsidRPr="00BD4E37">
        <w:rPr>
          <w:rFonts w:ascii="Times New Roman" w:hAnsi="Times New Roman" w:cs="Times New Roman"/>
          <w:i/>
          <w:noProof/>
          <w:lang w:eastAsia="en-AU"/>
        </w:rPr>
        <w:t>Figure 1.</w:t>
      </w:r>
      <w:r w:rsidRPr="00BD4E37">
        <w:rPr>
          <w:rFonts w:ascii="Times New Roman" w:hAnsi="Times New Roman" w:cs="Times New Roman"/>
          <w:noProof/>
          <w:lang w:eastAsia="en-AU"/>
        </w:rPr>
        <w:t xml:space="preserve"> Confirmatory Factor Analysis Model</w:t>
      </w:r>
    </w:p>
    <w:p w:rsidR="005430A2" w:rsidRPr="00BD4E37" w:rsidRDefault="005430A2" w:rsidP="005430A2">
      <w:pPr>
        <w:spacing w:before="240" w:line="360" w:lineRule="auto"/>
        <w:rPr>
          <w:rFonts w:ascii="Times New Roman" w:hAnsi="Times New Roman" w:cs="Times New Roman"/>
        </w:rPr>
      </w:pPr>
      <w:r>
        <w:rPr>
          <w:rFonts w:ascii="Times New Roman" w:hAnsi="Times New Roman" w:cs="Times New Roman"/>
        </w:rPr>
        <w:tab/>
      </w:r>
      <w:r w:rsidRPr="00BD4E37">
        <w:rPr>
          <w:rFonts w:ascii="Times New Roman" w:hAnsi="Times New Roman" w:cs="Times New Roman"/>
        </w:rPr>
        <w:t xml:space="preserve">The fit of the model was assessed following the guidelines from Hu and Bentler (1999) who recommended that good fit is indicated </w:t>
      </w:r>
      <w:r>
        <w:rPr>
          <w:rFonts w:ascii="Times New Roman" w:hAnsi="Times New Roman" w:cs="Times New Roman"/>
        </w:rPr>
        <w:t xml:space="preserve">by CFI and TLI scores close to </w:t>
      </w:r>
      <w:r w:rsidRPr="00BD4E37">
        <w:rPr>
          <w:rFonts w:ascii="Times New Roman" w:hAnsi="Times New Roman" w:cs="Times New Roman"/>
        </w:rPr>
        <w:t>.95 and a cut-off value of .08 for SRMR and .06 for RMSEA. The fit indices for the model for both conditions are presented in table 6.</w:t>
      </w:r>
    </w:p>
    <w:p w:rsidR="005430A2" w:rsidRPr="00BD4E37" w:rsidRDefault="005430A2" w:rsidP="005430A2">
      <w:pPr>
        <w:spacing w:line="360" w:lineRule="auto"/>
        <w:rPr>
          <w:rFonts w:ascii="Times New Roman" w:hAnsi="Times New Roman" w:cs="Times New Roman"/>
        </w:rPr>
      </w:pPr>
      <w:r w:rsidRPr="00BD4E37">
        <w:rPr>
          <w:rFonts w:ascii="Times New Roman" w:hAnsi="Times New Roman" w:cs="Times New Roman"/>
        </w:rPr>
        <w:t>Table 6</w:t>
      </w:r>
    </w:p>
    <w:p w:rsidR="005430A2" w:rsidRPr="00BD4E37" w:rsidRDefault="005430A2" w:rsidP="005430A2">
      <w:pPr>
        <w:spacing w:line="360" w:lineRule="auto"/>
        <w:rPr>
          <w:rFonts w:ascii="Times New Roman" w:hAnsi="Times New Roman" w:cs="Times New Roman"/>
          <w:i/>
        </w:rPr>
      </w:pPr>
      <w:r w:rsidRPr="00BD4E37">
        <w:rPr>
          <w:rFonts w:ascii="Times New Roman" w:hAnsi="Times New Roman" w:cs="Times New Roman"/>
          <w:i/>
        </w:rPr>
        <w:t>Model fit indices for both conditions</w:t>
      </w:r>
    </w:p>
    <w:tbl>
      <w:tblPr>
        <w:tblW w:w="0" w:type="auto"/>
        <w:tblLayout w:type="fixed"/>
        <w:tblLook w:val="04A0" w:firstRow="1" w:lastRow="0" w:firstColumn="1" w:lastColumn="0" w:noHBand="0" w:noVBand="1"/>
      </w:tblPr>
      <w:tblGrid>
        <w:gridCol w:w="1980"/>
        <w:gridCol w:w="1005"/>
        <w:gridCol w:w="1005"/>
        <w:gridCol w:w="1005"/>
        <w:gridCol w:w="1005"/>
        <w:gridCol w:w="941"/>
        <w:gridCol w:w="1069"/>
        <w:gridCol w:w="1006"/>
      </w:tblGrid>
      <w:tr w:rsidR="005430A2" w:rsidRPr="00BD4E37">
        <w:tc>
          <w:tcPr>
            <w:tcW w:w="1980" w:type="dxa"/>
            <w:tcBorders>
              <w:top w:val="single" w:sz="4" w:space="0" w:color="auto"/>
              <w:bottom w:val="single" w:sz="4" w:space="0" w:color="auto"/>
            </w:tcBorders>
          </w:tcPr>
          <w:p w:rsidR="005430A2" w:rsidRPr="00BD4E37" w:rsidRDefault="005430A2" w:rsidP="000A66D4">
            <w:pPr>
              <w:spacing w:line="360" w:lineRule="auto"/>
              <w:rPr>
                <w:rFonts w:ascii="Times New Roman" w:hAnsi="Times New Roman" w:cs="Times New Roman"/>
              </w:rPr>
            </w:pPr>
          </w:p>
        </w:tc>
        <w:tc>
          <w:tcPr>
            <w:tcW w:w="1005" w:type="dxa"/>
            <w:tcBorders>
              <w:top w:val="single" w:sz="4" w:space="0" w:color="auto"/>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Style w:val="st"/>
                <w:rFonts w:ascii="Times New Roman" w:hAnsi="Times New Roman" w:cs="Times New Roman"/>
              </w:rPr>
              <w:t>χ²</w:t>
            </w:r>
          </w:p>
        </w:tc>
        <w:tc>
          <w:tcPr>
            <w:tcW w:w="1005" w:type="dxa"/>
            <w:tcBorders>
              <w:top w:val="single" w:sz="4" w:space="0" w:color="auto"/>
              <w:bottom w:val="single" w:sz="4" w:space="0" w:color="auto"/>
            </w:tcBorders>
          </w:tcPr>
          <w:p w:rsidR="005430A2" w:rsidRPr="00BD4E37" w:rsidRDefault="005430A2" w:rsidP="000A66D4">
            <w:pPr>
              <w:spacing w:line="360" w:lineRule="auto"/>
              <w:rPr>
                <w:rFonts w:ascii="Times New Roman" w:hAnsi="Times New Roman" w:cs="Times New Roman"/>
              </w:rPr>
            </w:pPr>
            <w:r>
              <w:rPr>
                <w:rFonts w:ascii="Times New Roman" w:hAnsi="Times New Roman" w:cs="Times New Roman"/>
              </w:rPr>
              <w:t>d</w:t>
            </w:r>
            <w:r w:rsidRPr="00BD4E37">
              <w:rPr>
                <w:rFonts w:ascii="Times New Roman" w:hAnsi="Times New Roman" w:cs="Times New Roman"/>
              </w:rPr>
              <w:t>f</w:t>
            </w:r>
          </w:p>
        </w:tc>
        <w:tc>
          <w:tcPr>
            <w:tcW w:w="1005" w:type="dxa"/>
            <w:tcBorders>
              <w:top w:val="single" w:sz="4" w:space="0" w:color="auto"/>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Style w:val="st"/>
                <w:rFonts w:ascii="Times New Roman" w:hAnsi="Times New Roman" w:cs="Times New Roman"/>
              </w:rPr>
              <w:t>χ²/df</w:t>
            </w:r>
          </w:p>
        </w:tc>
        <w:tc>
          <w:tcPr>
            <w:tcW w:w="1005" w:type="dxa"/>
            <w:tcBorders>
              <w:top w:val="single" w:sz="4" w:space="0" w:color="auto"/>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CFI</w:t>
            </w:r>
          </w:p>
        </w:tc>
        <w:tc>
          <w:tcPr>
            <w:tcW w:w="941" w:type="dxa"/>
            <w:tcBorders>
              <w:top w:val="single" w:sz="4" w:space="0" w:color="auto"/>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TLI</w:t>
            </w:r>
          </w:p>
        </w:tc>
        <w:tc>
          <w:tcPr>
            <w:tcW w:w="1069" w:type="dxa"/>
            <w:tcBorders>
              <w:top w:val="single" w:sz="4" w:space="0" w:color="auto"/>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RMSEA</w:t>
            </w:r>
          </w:p>
        </w:tc>
        <w:tc>
          <w:tcPr>
            <w:tcW w:w="1006" w:type="dxa"/>
            <w:tcBorders>
              <w:top w:val="single" w:sz="4" w:space="0" w:color="auto"/>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SRMR</w:t>
            </w:r>
          </w:p>
        </w:tc>
      </w:tr>
      <w:tr w:rsidR="005430A2" w:rsidRPr="00BD4E37">
        <w:tc>
          <w:tcPr>
            <w:tcW w:w="1980" w:type="dxa"/>
            <w:tcBorders>
              <w:top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General-Specific</w:t>
            </w:r>
          </w:p>
        </w:tc>
        <w:tc>
          <w:tcPr>
            <w:tcW w:w="1005" w:type="dxa"/>
            <w:tcBorders>
              <w:top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93.473</w:t>
            </w:r>
          </w:p>
        </w:tc>
        <w:tc>
          <w:tcPr>
            <w:tcW w:w="1005" w:type="dxa"/>
            <w:tcBorders>
              <w:top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14</w:t>
            </w:r>
          </w:p>
        </w:tc>
        <w:tc>
          <w:tcPr>
            <w:tcW w:w="1005" w:type="dxa"/>
            <w:tcBorders>
              <w:top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6.677</w:t>
            </w:r>
          </w:p>
        </w:tc>
        <w:tc>
          <w:tcPr>
            <w:tcW w:w="1005" w:type="dxa"/>
            <w:tcBorders>
              <w:top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.867</w:t>
            </w:r>
          </w:p>
        </w:tc>
        <w:tc>
          <w:tcPr>
            <w:tcW w:w="941" w:type="dxa"/>
            <w:tcBorders>
              <w:top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.800</w:t>
            </w:r>
          </w:p>
        </w:tc>
        <w:tc>
          <w:tcPr>
            <w:tcW w:w="1069" w:type="dxa"/>
            <w:tcBorders>
              <w:top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.130</w:t>
            </w:r>
          </w:p>
        </w:tc>
        <w:tc>
          <w:tcPr>
            <w:tcW w:w="1006" w:type="dxa"/>
            <w:tcBorders>
              <w:top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.065</w:t>
            </w:r>
          </w:p>
        </w:tc>
      </w:tr>
      <w:tr w:rsidR="005430A2" w:rsidRPr="00BD4E37">
        <w:tc>
          <w:tcPr>
            <w:tcW w:w="1980" w:type="dxa"/>
            <w:tcBorders>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Specific-General</w:t>
            </w:r>
          </w:p>
        </w:tc>
        <w:tc>
          <w:tcPr>
            <w:tcW w:w="1005" w:type="dxa"/>
            <w:tcBorders>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48.167</w:t>
            </w:r>
          </w:p>
        </w:tc>
        <w:tc>
          <w:tcPr>
            <w:tcW w:w="1005" w:type="dxa"/>
            <w:tcBorders>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14</w:t>
            </w:r>
          </w:p>
        </w:tc>
        <w:tc>
          <w:tcPr>
            <w:tcW w:w="1005" w:type="dxa"/>
            <w:tcBorders>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3.440</w:t>
            </w:r>
          </w:p>
        </w:tc>
        <w:tc>
          <w:tcPr>
            <w:tcW w:w="1005" w:type="dxa"/>
            <w:tcBorders>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.960</w:t>
            </w:r>
          </w:p>
        </w:tc>
        <w:tc>
          <w:tcPr>
            <w:tcW w:w="941" w:type="dxa"/>
            <w:tcBorders>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.940</w:t>
            </w:r>
          </w:p>
        </w:tc>
        <w:tc>
          <w:tcPr>
            <w:tcW w:w="1069" w:type="dxa"/>
            <w:tcBorders>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.088</w:t>
            </w:r>
          </w:p>
        </w:tc>
        <w:tc>
          <w:tcPr>
            <w:tcW w:w="1006" w:type="dxa"/>
            <w:tcBorders>
              <w:bottom w:val="single" w:sz="4" w:space="0" w:color="auto"/>
            </w:tcBorders>
          </w:tcPr>
          <w:p w:rsidR="005430A2" w:rsidRPr="00BD4E37" w:rsidRDefault="005430A2" w:rsidP="000A66D4">
            <w:pPr>
              <w:spacing w:line="360" w:lineRule="auto"/>
              <w:rPr>
                <w:rFonts w:ascii="Times New Roman" w:hAnsi="Times New Roman" w:cs="Times New Roman"/>
              </w:rPr>
            </w:pPr>
            <w:r w:rsidRPr="00BD4E37">
              <w:rPr>
                <w:rFonts w:ascii="Times New Roman" w:hAnsi="Times New Roman" w:cs="Times New Roman"/>
              </w:rPr>
              <w:t>.038</w:t>
            </w:r>
          </w:p>
        </w:tc>
      </w:tr>
    </w:tbl>
    <w:p w:rsidR="005430A2" w:rsidRPr="00BD4E37" w:rsidRDefault="005430A2" w:rsidP="005430A2">
      <w:pPr>
        <w:spacing w:line="360" w:lineRule="auto"/>
        <w:rPr>
          <w:rFonts w:ascii="Times New Roman" w:hAnsi="Times New Roman" w:cs="Times New Roman"/>
        </w:rPr>
      </w:pPr>
    </w:p>
    <w:p w:rsidR="005430A2" w:rsidRPr="00BD4E37" w:rsidRDefault="005430A2" w:rsidP="005430A2">
      <w:pPr>
        <w:tabs>
          <w:tab w:val="left" w:pos="8647"/>
        </w:tabs>
        <w:spacing w:before="240" w:line="360" w:lineRule="auto"/>
        <w:ind w:firstLine="720"/>
        <w:rPr>
          <w:rFonts w:ascii="Times New Roman" w:hAnsi="Times New Roman" w:cs="Times New Roman"/>
        </w:rPr>
      </w:pPr>
      <w:r w:rsidRPr="00BD4E37">
        <w:rPr>
          <w:rFonts w:ascii="Times New Roman" w:hAnsi="Times New Roman" w:cs="Times New Roman"/>
        </w:rPr>
        <w:t>On all fit indices, the model fit better for the specific-general condition. Given the high chi-square for the general-specific group, modification indices were inspected. These revealed that the model fit could be improved by allowing error terms for adjacent domains to correlate. Specifically, the modification indices recommended correlating the error terms for health and achieving, achieving and relationships and standard of living and health for a better model fit. Similarly, even though relatively good fit was established for the specific-general model, modification indices revealed that allowing error terms of some adjacent domains to correlate would further improve the model.</w:t>
      </w:r>
    </w:p>
    <w:p w:rsidR="005430A2" w:rsidRPr="00BD4E37" w:rsidRDefault="005430A2" w:rsidP="005430A2">
      <w:pPr>
        <w:spacing w:before="240" w:line="360" w:lineRule="auto"/>
        <w:ind w:firstLine="720"/>
        <w:jc w:val="center"/>
        <w:rPr>
          <w:rFonts w:ascii="Times New Roman" w:hAnsi="Times New Roman" w:cs="Times New Roman"/>
          <w:b/>
        </w:rPr>
      </w:pPr>
      <w:r w:rsidRPr="00BD4E37">
        <w:rPr>
          <w:rFonts w:ascii="Times New Roman" w:hAnsi="Times New Roman" w:cs="Times New Roman"/>
          <w:b/>
        </w:rPr>
        <w:t>4. Discussion</w:t>
      </w:r>
    </w:p>
    <w:p w:rsidR="005430A2" w:rsidRPr="00BD4E37" w:rsidRDefault="005430A2" w:rsidP="005430A2">
      <w:pPr>
        <w:tabs>
          <w:tab w:val="left" w:pos="8647"/>
        </w:tabs>
        <w:spacing w:before="240" w:line="360" w:lineRule="auto"/>
        <w:ind w:firstLine="720"/>
        <w:rPr>
          <w:rFonts w:ascii="Times New Roman" w:hAnsi="Times New Roman" w:cs="Times New Roman"/>
        </w:rPr>
      </w:pPr>
      <w:r w:rsidRPr="00BD4E37">
        <w:rPr>
          <w:rFonts w:ascii="Times New Roman" w:hAnsi="Times New Roman" w:cs="Times New Roman"/>
        </w:rPr>
        <w:t xml:space="preserve">The purpose of the present study was to investigate the psychometric properties of the PWI </w:t>
      </w:r>
      <w:r>
        <w:rPr>
          <w:rFonts w:ascii="Times New Roman" w:hAnsi="Times New Roman" w:cs="Times New Roman"/>
        </w:rPr>
        <w:t>with particular reference to</w:t>
      </w:r>
      <w:r w:rsidRPr="00BD4E37">
        <w:rPr>
          <w:rFonts w:ascii="Times New Roman" w:hAnsi="Times New Roman" w:cs="Times New Roman"/>
        </w:rPr>
        <w:t xml:space="preserve"> order effects. More specifically, the aim of this study was to determine whether changing the order of the items in the questionnaire would affect the results, to truly test the robustness</w:t>
      </w:r>
      <w:r>
        <w:rPr>
          <w:rFonts w:ascii="Times New Roman" w:hAnsi="Times New Roman" w:cs="Times New Roman"/>
        </w:rPr>
        <w:t xml:space="preserve"> and content validity</w:t>
      </w:r>
      <w:r w:rsidRPr="00BD4E37">
        <w:rPr>
          <w:rFonts w:ascii="Times New Roman" w:hAnsi="Times New Roman" w:cs="Times New Roman"/>
        </w:rPr>
        <w:t xml:space="preserve"> of this tool. </w:t>
      </w:r>
    </w:p>
    <w:p w:rsidR="005430A2" w:rsidRPr="006955F9" w:rsidRDefault="005430A2" w:rsidP="005430A2">
      <w:pPr>
        <w:tabs>
          <w:tab w:val="left" w:pos="3828"/>
          <w:tab w:val="left" w:pos="8647"/>
        </w:tabs>
        <w:spacing w:before="240" w:line="360" w:lineRule="auto"/>
        <w:ind w:firstLine="720"/>
        <w:rPr>
          <w:rFonts w:ascii="Times New Roman" w:hAnsi="Times New Roman" w:cs="Times New Roman"/>
          <w:color w:val="FF0000"/>
        </w:rPr>
      </w:pPr>
      <w:r w:rsidRPr="00BD4E37">
        <w:rPr>
          <w:rFonts w:ascii="Times New Roman" w:hAnsi="Times New Roman" w:cs="Times New Roman"/>
        </w:rPr>
        <w:t xml:space="preserve">The first hypothesis, </w:t>
      </w:r>
      <w:r>
        <w:rPr>
          <w:rFonts w:ascii="Times New Roman" w:hAnsi="Times New Roman" w:cs="Times New Roman"/>
        </w:rPr>
        <w:t>that there would be a</w:t>
      </w:r>
      <w:r w:rsidRPr="00BD4E37">
        <w:rPr>
          <w:rFonts w:ascii="Times New Roman" w:hAnsi="Times New Roman" w:cs="Times New Roman"/>
        </w:rPr>
        <w:t xml:space="preserve"> significant difference between GLS scores of the two conditions was not supported. This finding suggests no evidence of order effects, and generally supports the robustness of the PWI as a measure. However, the finding is inconsistent with the results of Kaplan et al. (2013) who found a significant difference in the general item depending on whether the </w:t>
      </w:r>
      <w:r w:rsidRPr="000704EB">
        <w:rPr>
          <w:rFonts w:ascii="Times New Roman" w:hAnsi="Times New Roman" w:cs="Times New Roman"/>
        </w:rPr>
        <w:t>order was general-specific or specific-general</w:t>
      </w:r>
      <w:r w:rsidRPr="00051B9A">
        <w:rPr>
          <w:rFonts w:ascii="Times New Roman" w:hAnsi="Times New Roman" w:cs="Times New Roman"/>
        </w:rPr>
        <w:t xml:space="preserve">, where information accessed appeared to depend on the ordering of the items. Although no significant difference was found between these scores, scores on all PWI domains revealed significantly </w:t>
      </w:r>
      <w:r w:rsidRPr="00BD4E37">
        <w:rPr>
          <w:rFonts w:ascii="Times New Roman" w:hAnsi="Times New Roman" w:cs="Times New Roman"/>
        </w:rPr>
        <w:t xml:space="preserve">different </w:t>
      </w:r>
      <w:r w:rsidRPr="00DA5BDD">
        <w:rPr>
          <w:rFonts w:ascii="Times New Roman" w:hAnsi="Times New Roman" w:cs="Times New Roman"/>
        </w:rPr>
        <w:t xml:space="preserve">means between the conditions. Furthermore, the total PWI scores were significantly different </w:t>
      </w:r>
      <w:r w:rsidRPr="00E73CDF">
        <w:rPr>
          <w:rFonts w:ascii="Times New Roman" w:hAnsi="Times New Roman" w:cs="Times New Roman"/>
        </w:rPr>
        <w:t xml:space="preserve">across the conditions. These findings indicate that responses to the PWI items were different depending on the condition the participants were assigned to, which may be due to the ordering of the items, but may also be due to individual differences in the participants in each condition. </w:t>
      </w:r>
    </w:p>
    <w:p w:rsidR="005430A2" w:rsidRPr="00BD4E37" w:rsidRDefault="005430A2" w:rsidP="005430A2">
      <w:pPr>
        <w:tabs>
          <w:tab w:val="left" w:pos="8647"/>
        </w:tabs>
        <w:spacing w:before="240" w:line="360" w:lineRule="auto"/>
        <w:ind w:firstLine="720"/>
        <w:rPr>
          <w:rFonts w:ascii="Times New Roman" w:hAnsi="Times New Roman" w:cs="Times New Roman"/>
        </w:rPr>
      </w:pPr>
      <w:r w:rsidRPr="00BD4E37">
        <w:rPr>
          <w:rFonts w:ascii="Times New Roman" w:hAnsi="Times New Roman" w:cs="Times New Roman"/>
        </w:rPr>
        <w:t xml:space="preserve">The second hypothesis was that despite the </w:t>
      </w:r>
      <w:r>
        <w:rPr>
          <w:rFonts w:ascii="Times New Roman" w:hAnsi="Times New Roman" w:cs="Times New Roman"/>
        </w:rPr>
        <w:t xml:space="preserve">question </w:t>
      </w:r>
      <w:r w:rsidRPr="00BD4E37">
        <w:rPr>
          <w:rFonts w:ascii="Times New Roman" w:hAnsi="Times New Roman" w:cs="Times New Roman"/>
        </w:rPr>
        <w:t>order change, a similar factor structure would emerge between the two conditions. This hypothesis was partially supported as a single factor was elicited through a</w:t>
      </w:r>
      <w:r>
        <w:rPr>
          <w:rFonts w:ascii="Times New Roman" w:hAnsi="Times New Roman" w:cs="Times New Roman"/>
        </w:rPr>
        <w:t>n</w:t>
      </w:r>
      <w:r w:rsidRPr="00BD4E37">
        <w:rPr>
          <w:rFonts w:ascii="Times New Roman" w:hAnsi="Times New Roman" w:cs="Times New Roman"/>
        </w:rPr>
        <w:t xml:space="preserve"> </w:t>
      </w:r>
      <w:r>
        <w:rPr>
          <w:rFonts w:ascii="Times New Roman" w:hAnsi="Times New Roman" w:cs="Times New Roman"/>
        </w:rPr>
        <w:t>exploratory</w:t>
      </w:r>
      <w:r w:rsidRPr="00BD4E37">
        <w:rPr>
          <w:rFonts w:ascii="Times New Roman" w:hAnsi="Times New Roman" w:cs="Times New Roman"/>
        </w:rPr>
        <w:t xml:space="preserve"> factor analysis, which was </w:t>
      </w:r>
      <w:r>
        <w:rPr>
          <w:rFonts w:ascii="Times New Roman" w:hAnsi="Times New Roman" w:cs="Times New Roman"/>
        </w:rPr>
        <w:t>consistent</w:t>
      </w:r>
      <w:r w:rsidRPr="00BD4E37">
        <w:rPr>
          <w:rFonts w:ascii="Times New Roman" w:hAnsi="Times New Roman" w:cs="Times New Roman"/>
        </w:rPr>
        <w:t xml:space="preserve"> with the PWI manual (International Wellbeing Index, 2013), however the factor structure did appear to differ. Further analyses were conducted to determine the extent of the differences within the factor structure. Confirmatory factor analyses revealed that the models could be improved by allowing error terms of adjacent domains to correlate, which may be interpreted as preliminary evidence of order effects within the actual domains of the PWI. Thus, although there appeared to be no order effects based on whether the order was general-specific or specific-general, these findings suggest that exploring item-order effects within the PWI itself may be important. </w:t>
      </w:r>
    </w:p>
    <w:p w:rsidR="005430A2" w:rsidRDefault="005430A2" w:rsidP="005430A2">
      <w:pPr>
        <w:tabs>
          <w:tab w:val="left" w:pos="8647"/>
        </w:tabs>
        <w:spacing w:before="240" w:line="360" w:lineRule="auto"/>
        <w:ind w:firstLine="720"/>
        <w:rPr>
          <w:rFonts w:ascii="Times New Roman" w:hAnsi="Times New Roman" w:cs="Times New Roman"/>
        </w:rPr>
      </w:pPr>
      <w:r w:rsidRPr="00BD4E37">
        <w:rPr>
          <w:rFonts w:ascii="Times New Roman" w:hAnsi="Times New Roman" w:cs="Times New Roman"/>
        </w:rPr>
        <w:t>In support of the third hypothesis, more variance in GLS was explained in the specific-general condition compared to the general-specific condition. These results are consistent with an assimilation effect, where the GLS item appeared to represent a summary of the responses given to the PWI items. These findings support the results of Schwarz et al. (1991) and Schuman and Presser (1987). Further, the unique variances of each domain revealed that the domains of standard of living, achieving in life and personal relationships made the biggest contributions to GLS in both conditions, which is consistent with previous research using the PWI on a diverse range of samples (Inter</w:t>
      </w:r>
      <w:r>
        <w:rPr>
          <w:rFonts w:ascii="Times New Roman" w:hAnsi="Times New Roman" w:cs="Times New Roman"/>
        </w:rPr>
        <w:t xml:space="preserve">national Wellbeing Group, 2013) and supports the content validity of the measure. </w:t>
      </w:r>
    </w:p>
    <w:p w:rsidR="005430A2" w:rsidRPr="00BD4E37" w:rsidRDefault="005430A2" w:rsidP="005430A2">
      <w:pPr>
        <w:tabs>
          <w:tab w:val="left" w:pos="8647"/>
        </w:tabs>
        <w:spacing w:before="240" w:line="360" w:lineRule="auto"/>
        <w:rPr>
          <w:rFonts w:ascii="Times New Roman" w:hAnsi="Times New Roman" w:cs="Times New Roman"/>
          <w:b/>
        </w:rPr>
      </w:pPr>
      <w:r w:rsidRPr="00BD4E37">
        <w:rPr>
          <w:rFonts w:ascii="Times New Roman" w:hAnsi="Times New Roman" w:cs="Times New Roman"/>
          <w:b/>
        </w:rPr>
        <w:t>4.1 Limitations and Future Research</w:t>
      </w:r>
    </w:p>
    <w:p w:rsidR="005430A2" w:rsidRPr="00BD4E37" w:rsidRDefault="005430A2" w:rsidP="005430A2">
      <w:pPr>
        <w:tabs>
          <w:tab w:val="left" w:pos="8647"/>
        </w:tabs>
        <w:spacing w:before="240" w:line="360" w:lineRule="auto"/>
        <w:ind w:firstLine="720"/>
        <w:rPr>
          <w:rFonts w:ascii="Times New Roman" w:hAnsi="Times New Roman" w:cs="Times New Roman"/>
          <w:color w:val="FF0000"/>
        </w:rPr>
      </w:pPr>
      <w:r w:rsidRPr="00BD4E37">
        <w:rPr>
          <w:rFonts w:ascii="Times New Roman" w:hAnsi="Times New Roman" w:cs="Times New Roman"/>
        </w:rPr>
        <w:t>The results of this study should be interpreted within the context of its limitations. Firstly, a greater proportion of married individuals were recruited in the general-specific condition. As married individuals tend to report higher levels of wellbeing (Cummins et al., 2013), this demographic difference might explain the differences in the PWI items observed between the two groups.</w:t>
      </w:r>
      <w:r w:rsidRPr="00BD4E37">
        <w:rPr>
          <w:rFonts w:ascii="Times New Roman" w:hAnsi="Times New Roman" w:cs="Times New Roman"/>
          <w:color w:val="FF0000"/>
        </w:rPr>
        <w:t xml:space="preserve"> </w:t>
      </w:r>
      <w:r>
        <w:rPr>
          <w:rFonts w:ascii="Times New Roman" w:hAnsi="Times New Roman" w:cs="Times New Roman"/>
        </w:rPr>
        <w:t>Secondly, w</w:t>
      </w:r>
      <w:r w:rsidRPr="00BD4E37">
        <w:rPr>
          <w:rFonts w:ascii="Times New Roman" w:hAnsi="Times New Roman" w:cs="Times New Roman"/>
        </w:rPr>
        <w:t xml:space="preserve">ithin literature using the PWI conducted on the Australian population, it would be expected that the PWI scores for this sample would fall within the 70-80%SM range (International Wellbeing Index, 2013). The general-specific condition revealed a score within this range, however </w:t>
      </w:r>
      <w:r>
        <w:rPr>
          <w:rFonts w:ascii="Times New Roman" w:hAnsi="Times New Roman" w:cs="Times New Roman"/>
        </w:rPr>
        <w:t xml:space="preserve">the PWI score for </w:t>
      </w:r>
      <w:r w:rsidRPr="00BD4E37">
        <w:rPr>
          <w:rFonts w:ascii="Times New Roman" w:hAnsi="Times New Roman" w:cs="Times New Roman"/>
        </w:rPr>
        <w:t xml:space="preserve">the specific-general condition fell outside this normative range, </w:t>
      </w:r>
      <w:r>
        <w:rPr>
          <w:rFonts w:ascii="Times New Roman" w:hAnsi="Times New Roman" w:cs="Times New Roman"/>
        </w:rPr>
        <w:t xml:space="preserve">and was </w:t>
      </w:r>
      <w:r w:rsidRPr="00BD4E37">
        <w:rPr>
          <w:rFonts w:ascii="Times New Roman" w:hAnsi="Times New Roman" w:cs="Times New Roman"/>
        </w:rPr>
        <w:t xml:space="preserve">significantly lower than the </w:t>
      </w:r>
      <w:r>
        <w:rPr>
          <w:rFonts w:ascii="Times New Roman" w:hAnsi="Times New Roman" w:cs="Times New Roman"/>
        </w:rPr>
        <w:t>general-specific</w:t>
      </w:r>
      <w:r w:rsidRPr="00BD4E37">
        <w:rPr>
          <w:rFonts w:ascii="Times New Roman" w:hAnsi="Times New Roman" w:cs="Times New Roman"/>
        </w:rPr>
        <w:t xml:space="preserve"> condition.</w:t>
      </w:r>
      <w:r>
        <w:rPr>
          <w:rFonts w:ascii="Times New Roman" w:hAnsi="Times New Roman" w:cs="Times New Roman"/>
        </w:rPr>
        <w:t xml:space="preserve"> Given that the specific-general total PWI score was below</w:t>
      </w:r>
      <w:r w:rsidRPr="00BD4E37">
        <w:rPr>
          <w:rFonts w:ascii="Times New Roman" w:hAnsi="Times New Roman" w:cs="Times New Roman"/>
        </w:rPr>
        <w:t xml:space="preserve"> </w:t>
      </w:r>
      <w:r>
        <w:rPr>
          <w:rFonts w:ascii="Times New Roman" w:hAnsi="Times New Roman" w:cs="Times New Roman"/>
        </w:rPr>
        <w:t>the normal range, this group may comprise more people who are experiencing homeostatic defeat (Cummins, 2010) and so these results require confirmation in future studies of more representative groups</w:t>
      </w:r>
      <w:r>
        <w:rPr>
          <w:rFonts w:ascii="Times New Roman" w:hAnsi="Times New Roman" w:cs="Times New Roman"/>
          <w:color w:val="FF0000"/>
        </w:rPr>
        <w:t>.</w:t>
      </w:r>
      <w:r>
        <w:rPr>
          <w:rFonts w:ascii="Times New Roman" w:hAnsi="Times New Roman" w:cs="Times New Roman"/>
        </w:rPr>
        <w:t xml:space="preserve"> Finally, given that there appeared </w:t>
      </w:r>
      <w:r w:rsidRPr="00BD4E37">
        <w:rPr>
          <w:rFonts w:ascii="Times New Roman" w:hAnsi="Times New Roman" w:cs="Times New Roman"/>
        </w:rPr>
        <w:t>to be some prelim</w:t>
      </w:r>
      <w:r>
        <w:rPr>
          <w:rFonts w:ascii="Times New Roman" w:hAnsi="Times New Roman" w:cs="Times New Roman"/>
        </w:rPr>
        <w:t>inary evidence of order effects within the PWI domains specifically, further research that changes the order of items within the PWI may provide further insight into item-order effects in this scale.</w:t>
      </w:r>
      <w:r w:rsidRPr="00BD4E37">
        <w:rPr>
          <w:rFonts w:ascii="Times New Roman" w:hAnsi="Times New Roman" w:cs="Times New Roman"/>
        </w:rPr>
        <w:t xml:space="preserve"> </w:t>
      </w:r>
    </w:p>
    <w:p w:rsidR="005430A2" w:rsidRPr="00BD4E37" w:rsidRDefault="005430A2" w:rsidP="005430A2">
      <w:pPr>
        <w:pStyle w:val="ListParagraph"/>
        <w:numPr>
          <w:ilvl w:val="1"/>
          <w:numId w:val="42"/>
        </w:numPr>
        <w:tabs>
          <w:tab w:val="left" w:pos="8647"/>
        </w:tabs>
        <w:spacing w:before="240" w:line="360" w:lineRule="auto"/>
        <w:rPr>
          <w:rFonts w:ascii="Times New Roman" w:hAnsi="Times New Roman" w:cs="Times New Roman"/>
          <w:b/>
          <w:sz w:val="24"/>
          <w:szCs w:val="24"/>
        </w:rPr>
      </w:pPr>
      <w:r w:rsidRPr="00BD4E37">
        <w:rPr>
          <w:rFonts w:ascii="Times New Roman" w:hAnsi="Times New Roman" w:cs="Times New Roman"/>
          <w:b/>
          <w:sz w:val="24"/>
          <w:szCs w:val="24"/>
        </w:rPr>
        <w:t>Conclusion</w:t>
      </w:r>
    </w:p>
    <w:p w:rsidR="005430A2" w:rsidRPr="00BD4E37" w:rsidRDefault="005430A2" w:rsidP="005430A2">
      <w:pPr>
        <w:tabs>
          <w:tab w:val="left" w:pos="8647"/>
        </w:tabs>
        <w:spacing w:before="240" w:line="360" w:lineRule="auto"/>
        <w:ind w:firstLine="720"/>
        <w:rPr>
          <w:rFonts w:ascii="Times New Roman" w:hAnsi="Times New Roman" w:cs="Times New Roman"/>
        </w:rPr>
      </w:pPr>
      <w:r w:rsidRPr="00BD4E37">
        <w:rPr>
          <w:rFonts w:ascii="Times New Roman" w:hAnsi="Times New Roman" w:cs="Times New Roman"/>
        </w:rPr>
        <w:t xml:space="preserve">The results from this study contribute to the wealth of literature on question order effects. Overall, the results of this study are consistent with prior research, in that changing the order of the items of the PWI </w:t>
      </w:r>
      <w:r>
        <w:rPr>
          <w:rFonts w:ascii="Times New Roman" w:hAnsi="Times New Roman" w:cs="Times New Roman"/>
        </w:rPr>
        <w:t xml:space="preserve">may yield different </w:t>
      </w:r>
      <w:r w:rsidRPr="00D359ED">
        <w:rPr>
          <w:rFonts w:ascii="Times New Roman" w:hAnsi="Times New Roman" w:cs="Times New Roman"/>
        </w:rPr>
        <w:t>responses</w:t>
      </w:r>
      <w:r>
        <w:rPr>
          <w:rFonts w:ascii="Times New Roman" w:hAnsi="Times New Roman" w:cs="Times New Roman"/>
        </w:rPr>
        <w:t>.</w:t>
      </w:r>
      <w:r w:rsidRPr="006A7EB0">
        <w:rPr>
          <w:rFonts w:ascii="Times New Roman" w:hAnsi="Times New Roman" w:cs="Times New Roman"/>
        </w:rPr>
        <w:t xml:space="preserve"> </w:t>
      </w:r>
      <w:r w:rsidRPr="0066499B">
        <w:rPr>
          <w:rFonts w:ascii="Times New Roman" w:hAnsi="Times New Roman" w:cs="Times New Roman"/>
        </w:rPr>
        <w:t>It further provides support that specific-general formats are more susceptible to order effects (Schuman &amp; Presser, 1987) and therefore wellbeing questionnaires should use general-specific format in line with the PWI manual to best avoid order effects (International Wellbeing Index, 2013)</w:t>
      </w:r>
      <w:r>
        <w:rPr>
          <w:rFonts w:ascii="Times New Roman" w:hAnsi="Times New Roman" w:cs="Times New Roman"/>
        </w:rPr>
        <w:t>,</w:t>
      </w:r>
      <w:r w:rsidRPr="0066499B">
        <w:rPr>
          <w:rFonts w:ascii="Times New Roman" w:hAnsi="Times New Roman" w:cs="Times New Roman"/>
        </w:rPr>
        <w:t xml:space="preserve"> </w:t>
      </w:r>
      <w:r>
        <w:rPr>
          <w:rFonts w:ascii="Times New Roman" w:hAnsi="Times New Roman" w:cs="Times New Roman"/>
        </w:rPr>
        <w:t xml:space="preserve">though </w:t>
      </w:r>
      <w:r w:rsidRPr="0066499B">
        <w:rPr>
          <w:rFonts w:ascii="Times New Roman" w:hAnsi="Times New Roman" w:cs="Times New Roman"/>
        </w:rPr>
        <w:t>order effects may occur within the measures too.</w:t>
      </w:r>
      <w:r w:rsidRPr="000704EB">
        <w:rPr>
          <w:rFonts w:ascii="Times New Roman" w:hAnsi="Times New Roman" w:cs="Times New Roman"/>
          <w:color w:val="FF0000"/>
        </w:rPr>
        <w:t xml:space="preserve"> </w:t>
      </w:r>
    </w:p>
    <w:p w:rsidR="005430A2" w:rsidRDefault="005430A2" w:rsidP="005430A2">
      <w:pPr>
        <w:spacing w:before="240" w:line="360" w:lineRule="auto"/>
        <w:ind w:firstLine="720"/>
        <w:rPr>
          <w:rFonts w:ascii="Times New Roman" w:hAnsi="Times New Roman" w:cs="Times New Roman"/>
        </w:rPr>
      </w:pPr>
      <w:r w:rsidRPr="00BD4E37">
        <w:rPr>
          <w:rFonts w:ascii="Times New Roman" w:hAnsi="Times New Roman" w:cs="Times New Roman"/>
        </w:rPr>
        <w:t>The current study supports the importance of order effects as an important methodological concern in self-report measures, particularly in happiness literature. If this methodological concern is ignored, studies could yield unreliable results whereby responses may not be due to the questionnaire items but due to the ordering of the items. Given the reliance on self-report in evaluations of SWB, an understanding of order effects is critical to the development of psychometric tools, and tests of order effects should be routinely included in validation of new measures.</w:t>
      </w:r>
    </w:p>
    <w:p w:rsidR="005430A2" w:rsidRPr="00BD4E37" w:rsidRDefault="005430A2" w:rsidP="005430A2">
      <w:pPr>
        <w:rPr>
          <w:rFonts w:ascii="Times New Roman" w:hAnsi="Times New Roman" w:cs="Times New Roman"/>
        </w:rPr>
      </w:pPr>
      <w:r w:rsidRPr="00BD4E37">
        <w:rPr>
          <w:rFonts w:ascii="Times New Roman" w:hAnsi="Times New Roman" w:cs="Times New Roman"/>
        </w:rPr>
        <w:br w:type="page"/>
      </w:r>
    </w:p>
    <w:p w:rsidR="005430A2" w:rsidRPr="005A487A" w:rsidRDefault="005430A2" w:rsidP="005430A2">
      <w:pPr>
        <w:spacing w:line="360" w:lineRule="auto"/>
        <w:jc w:val="center"/>
        <w:rPr>
          <w:rFonts w:ascii="Times New Roman" w:hAnsi="Times New Roman" w:cs="Times New Roman"/>
        </w:rPr>
      </w:pPr>
      <w:r w:rsidRPr="005A487A">
        <w:rPr>
          <w:rFonts w:ascii="Times New Roman" w:hAnsi="Times New Roman" w:cs="Times New Roman"/>
        </w:rPr>
        <w:t>References</w:t>
      </w:r>
    </w:p>
    <w:p w:rsidR="005430A2" w:rsidRDefault="005430A2" w:rsidP="005430A2">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Bartlett, M. S. (1954). A note on the multiplying factors for various chi square approximations. </w:t>
      </w:r>
      <w:r>
        <w:rPr>
          <w:rFonts w:ascii="Times New Roman" w:hAnsi="Times New Roman" w:cs="Times New Roman"/>
          <w:i/>
          <w:lang w:eastAsia="en-AU"/>
        </w:rPr>
        <w:t xml:space="preserve">Journal of the Royal Statistical Society, 16 </w:t>
      </w:r>
      <w:r>
        <w:rPr>
          <w:rFonts w:ascii="Times New Roman" w:hAnsi="Times New Roman" w:cs="Times New Roman"/>
          <w:lang w:eastAsia="en-AU"/>
        </w:rPr>
        <w:t>(Series B), 296-8.</w:t>
      </w:r>
    </w:p>
    <w:p w:rsidR="005430A2" w:rsidRPr="005003A5" w:rsidRDefault="005430A2" w:rsidP="005430A2">
      <w:pPr>
        <w:spacing w:line="360" w:lineRule="auto"/>
        <w:ind w:left="709" w:hanging="709"/>
        <w:rPr>
          <w:rFonts w:ascii="Times New Roman" w:hAnsi="Times New Roman" w:cs="Times New Roman"/>
        </w:rPr>
      </w:pPr>
      <w:r>
        <w:rPr>
          <w:rFonts w:ascii="Times New Roman" w:hAnsi="Times New Roman" w:cs="Times New Roman"/>
          <w:lang w:eastAsia="en-AU"/>
        </w:rPr>
        <w:t>Brickman, P., Coates, D., &amp; Janoff-Bulman</w:t>
      </w:r>
      <w:r w:rsidRPr="004A1143">
        <w:rPr>
          <w:rFonts w:ascii="Times New Roman" w:hAnsi="Times New Roman" w:cs="Times New Roman"/>
          <w:lang w:eastAsia="en-AU"/>
        </w:rPr>
        <w:t xml:space="preserve">, R. (1978). Lottery winners and accident victims- Is happiness relative? </w:t>
      </w:r>
      <w:r w:rsidRPr="004A1143">
        <w:rPr>
          <w:rFonts w:ascii="Times New Roman" w:hAnsi="Times New Roman" w:cs="Times New Roman"/>
          <w:i/>
          <w:lang w:eastAsia="en-AU"/>
        </w:rPr>
        <w:t>Journal of Personality and Social Psychology, 36</w:t>
      </w:r>
      <w:r w:rsidRPr="004A1143">
        <w:rPr>
          <w:rFonts w:ascii="Times New Roman" w:hAnsi="Times New Roman" w:cs="Times New Roman"/>
          <w:lang w:eastAsia="en-AU"/>
        </w:rPr>
        <w:t xml:space="preserve">(8), 917-927. </w:t>
      </w:r>
    </w:p>
    <w:p w:rsidR="005430A2" w:rsidRDefault="005430A2" w:rsidP="005430A2">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Carlson, J. E., Mason, R., Saltiel, J., &amp; Sangster. R. (1995). Assimilation and Contrast Effects in General/Specific Questions. </w:t>
      </w:r>
      <w:r>
        <w:rPr>
          <w:rFonts w:ascii="Times New Roman" w:hAnsi="Times New Roman" w:cs="Times New Roman"/>
          <w:i/>
          <w:lang w:eastAsia="en-AU"/>
        </w:rPr>
        <w:t>Rural Sociology, 60</w:t>
      </w:r>
      <w:r>
        <w:rPr>
          <w:rFonts w:ascii="Times New Roman" w:hAnsi="Times New Roman" w:cs="Times New Roman"/>
          <w:lang w:eastAsia="en-AU"/>
        </w:rPr>
        <w:t xml:space="preserve">(4), 666-673. </w:t>
      </w:r>
    </w:p>
    <w:p w:rsidR="005430A2" w:rsidRPr="00AA0AAA" w:rsidRDefault="005430A2" w:rsidP="005430A2">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Cohen, J. W. (1988). </w:t>
      </w:r>
      <w:r>
        <w:rPr>
          <w:rFonts w:ascii="Times New Roman" w:hAnsi="Times New Roman" w:cs="Times New Roman"/>
          <w:i/>
          <w:lang w:eastAsia="en-AU"/>
        </w:rPr>
        <w:t xml:space="preserve">Statistical Power analysis for the behavioural sciences </w:t>
      </w:r>
      <w:r>
        <w:rPr>
          <w:rFonts w:ascii="Times New Roman" w:hAnsi="Times New Roman" w:cs="Times New Roman"/>
          <w:lang w:eastAsia="en-AU"/>
        </w:rPr>
        <w:t>(2</w:t>
      </w:r>
      <w:r w:rsidRPr="00AA0AAA">
        <w:rPr>
          <w:rFonts w:ascii="Times New Roman" w:hAnsi="Times New Roman" w:cs="Times New Roman"/>
          <w:vertAlign w:val="superscript"/>
          <w:lang w:eastAsia="en-AU"/>
        </w:rPr>
        <w:t>nd</w:t>
      </w:r>
      <w:r>
        <w:rPr>
          <w:rFonts w:ascii="Times New Roman" w:hAnsi="Times New Roman" w:cs="Times New Roman"/>
          <w:lang w:eastAsia="en-AU"/>
        </w:rPr>
        <w:t xml:space="preserve"> ed). Hillsdale, NJ: Lawrence Erlbaum Associates.</w:t>
      </w:r>
    </w:p>
    <w:p w:rsidR="005430A2" w:rsidRDefault="005430A2" w:rsidP="005430A2">
      <w:pPr>
        <w:spacing w:line="360" w:lineRule="auto"/>
        <w:ind w:left="709" w:hanging="709"/>
        <w:rPr>
          <w:rFonts w:ascii="Times New Roman" w:hAnsi="Times New Roman" w:cs="Times New Roman"/>
          <w:lang w:eastAsia="en-AU"/>
        </w:rPr>
      </w:pPr>
      <w:r w:rsidRPr="004A1143">
        <w:rPr>
          <w:rFonts w:ascii="Times New Roman" w:hAnsi="Times New Roman" w:cs="Times New Roman"/>
          <w:lang w:eastAsia="en-AU"/>
        </w:rPr>
        <w:t>Cummins, R.</w:t>
      </w:r>
      <w:r>
        <w:rPr>
          <w:rFonts w:ascii="Times New Roman" w:hAnsi="Times New Roman" w:cs="Times New Roman"/>
          <w:lang w:eastAsia="en-AU"/>
        </w:rPr>
        <w:t xml:space="preserve"> A.</w:t>
      </w:r>
      <w:r w:rsidRPr="004A1143">
        <w:rPr>
          <w:rFonts w:ascii="Times New Roman" w:hAnsi="Times New Roman" w:cs="Times New Roman"/>
          <w:lang w:eastAsia="en-AU"/>
        </w:rPr>
        <w:t xml:space="preserve"> (2010). Subjective Wellbeing, Homeostatically Protected Mood and Depression: A Synthesis. </w:t>
      </w:r>
      <w:r w:rsidRPr="004A1143">
        <w:rPr>
          <w:rFonts w:ascii="Times New Roman" w:hAnsi="Times New Roman" w:cs="Times New Roman"/>
          <w:i/>
          <w:lang w:eastAsia="en-AU"/>
        </w:rPr>
        <w:t>Journal of Happiness Studies, 11</w:t>
      </w:r>
      <w:r w:rsidRPr="004A1143">
        <w:rPr>
          <w:rFonts w:ascii="Times New Roman" w:hAnsi="Times New Roman" w:cs="Times New Roman"/>
          <w:lang w:eastAsia="en-AU"/>
        </w:rPr>
        <w:t xml:space="preserve">(1), 1-17. </w:t>
      </w:r>
    </w:p>
    <w:p w:rsidR="005430A2" w:rsidRDefault="005430A2" w:rsidP="005430A2">
      <w:pPr>
        <w:spacing w:line="360" w:lineRule="auto"/>
        <w:ind w:left="709" w:hanging="709"/>
        <w:rPr>
          <w:rFonts w:ascii="Times New Roman" w:hAnsi="Times New Roman" w:cs="Times New Roman"/>
          <w:lang w:eastAsia="en-AU"/>
        </w:rPr>
      </w:pPr>
      <w:r>
        <w:rPr>
          <w:rFonts w:ascii="Times New Roman" w:hAnsi="Times New Roman" w:cs="Times New Roman"/>
          <w:lang w:eastAsia="en-AU"/>
        </w:rPr>
        <w:t xml:space="preserve">Cummins, R. A., Eckersley, R., Pallant, J., Van Vugt, J., &amp; Misajon, R. (2003). Developing a National Index of Subjective Wellbeing: The Australian Unity Wellbeing Index. </w:t>
      </w:r>
      <w:r>
        <w:rPr>
          <w:rFonts w:ascii="Times New Roman" w:hAnsi="Times New Roman" w:cs="Times New Roman"/>
          <w:i/>
          <w:lang w:eastAsia="en-AU"/>
        </w:rPr>
        <w:t xml:space="preserve">Social Indicators Research, 64, </w:t>
      </w:r>
      <w:r>
        <w:rPr>
          <w:rFonts w:ascii="Times New Roman" w:hAnsi="Times New Roman" w:cs="Times New Roman"/>
          <w:lang w:eastAsia="en-AU"/>
        </w:rPr>
        <w:t>159-190.</w:t>
      </w:r>
    </w:p>
    <w:p w:rsidR="005430A2" w:rsidRDefault="005430A2" w:rsidP="005430A2">
      <w:pPr>
        <w:spacing w:line="360" w:lineRule="auto"/>
        <w:ind w:left="709" w:hanging="709"/>
        <w:rPr>
          <w:rFonts w:ascii="Times New Roman" w:hAnsi="Times New Roman" w:cs="Times New Roman"/>
        </w:rPr>
      </w:pPr>
      <w:r w:rsidRPr="0014107C">
        <w:rPr>
          <w:rFonts w:ascii="Times New Roman" w:hAnsi="Times New Roman" w:cs="Times New Roman"/>
        </w:rPr>
        <w:t>Cummins, R.</w:t>
      </w:r>
      <w:r>
        <w:rPr>
          <w:rFonts w:ascii="Times New Roman" w:hAnsi="Times New Roman" w:cs="Times New Roman"/>
        </w:rPr>
        <w:t xml:space="preserve"> A., &amp; Gullone, E. (2000). </w:t>
      </w:r>
      <w:r w:rsidRPr="0014107C">
        <w:rPr>
          <w:rFonts w:ascii="Times New Roman" w:hAnsi="Times New Roman" w:cs="Times New Roman"/>
          <w:bCs/>
        </w:rPr>
        <w:t>Why we should not use 5-point Likert scales: The case for subjective quality of</w:t>
      </w:r>
      <w:r w:rsidRPr="0014107C">
        <w:rPr>
          <w:rFonts w:ascii="Times New Roman" w:hAnsi="Times New Roman" w:cs="Times New Roman"/>
        </w:rPr>
        <w:t xml:space="preserve"> life measurement. </w:t>
      </w:r>
      <w:r w:rsidRPr="0014107C">
        <w:rPr>
          <w:rStyle w:val="Emphasis"/>
          <w:rFonts w:ascii="Times New Roman" w:eastAsia="Calibri" w:hAnsi="Times New Roman" w:cs="Times New Roman"/>
        </w:rPr>
        <w:t>Proceedings of the Second International Conference on Quality of Life in Cities</w:t>
      </w:r>
      <w:r w:rsidRPr="0014107C">
        <w:rPr>
          <w:rFonts w:ascii="Times New Roman" w:hAnsi="Times New Roman" w:cs="Times New Roman"/>
        </w:rPr>
        <w:t>, 74-93, National University of Singapore, Singapore.</w:t>
      </w:r>
    </w:p>
    <w:p w:rsidR="005430A2" w:rsidRDefault="005430A2" w:rsidP="005430A2">
      <w:pPr>
        <w:spacing w:line="360" w:lineRule="auto"/>
        <w:ind w:left="709" w:hanging="709"/>
        <w:rPr>
          <w:rFonts w:ascii="Times New Roman" w:hAnsi="Times New Roman" w:cs="Times New Roman"/>
        </w:rPr>
      </w:pPr>
      <w:r>
        <w:rPr>
          <w:rFonts w:ascii="Times New Roman" w:hAnsi="Times New Roman" w:cs="Times New Roman"/>
          <w:lang w:eastAsia="en-AU"/>
        </w:rPr>
        <w:t xml:space="preserve">Cummins, R. A., Li, N., Wooden, M., &amp; Stokes, M. (2014). A </w:t>
      </w:r>
      <w:r w:rsidRPr="00774ECA">
        <w:rPr>
          <w:rFonts w:ascii="Times New Roman" w:hAnsi="Times New Roman" w:cs="Times New Roman"/>
          <w:lang w:eastAsia="en-AU"/>
        </w:rPr>
        <w:t xml:space="preserve">demonstration of set-points for subjective wellbeing. </w:t>
      </w:r>
      <w:r w:rsidRPr="00774ECA">
        <w:rPr>
          <w:rFonts w:ascii="Times New Roman" w:hAnsi="Times New Roman" w:cs="Times New Roman"/>
          <w:i/>
          <w:lang w:eastAsia="en-AU"/>
        </w:rPr>
        <w:t>Journal of Happiness Studies, 15</w:t>
      </w:r>
      <w:r w:rsidRPr="00774ECA">
        <w:rPr>
          <w:rFonts w:ascii="Times New Roman" w:hAnsi="Times New Roman" w:cs="Times New Roman"/>
          <w:lang w:eastAsia="en-AU"/>
        </w:rPr>
        <w:t xml:space="preserve">(1), 183-206. </w:t>
      </w:r>
    </w:p>
    <w:p w:rsidR="005430A2" w:rsidRPr="00A53D42" w:rsidRDefault="005430A2" w:rsidP="005430A2">
      <w:pPr>
        <w:spacing w:line="360" w:lineRule="auto"/>
        <w:ind w:left="709" w:hanging="709"/>
        <w:rPr>
          <w:rFonts w:ascii="Times New Roman" w:hAnsi="Times New Roman" w:cs="Times New Roman"/>
        </w:rPr>
      </w:pPr>
      <w:r>
        <w:rPr>
          <w:rFonts w:ascii="Times New Roman" w:hAnsi="Times New Roman" w:cs="Times New Roman"/>
        </w:rPr>
        <w:t xml:space="preserve">Cummins, R. A., Woerner, J., Weinberg, M., Collard, J., Hartley-Clark, J., &amp; Horfiniak, K., &amp; Perera, C. (2013). </w:t>
      </w:r>
      <w:r>
        <w:rPr>
          <w:rFonts w:ascii="Times New Roman" w:hAnsi="Times New Roman" w:cs="Times New Roman"/>
          <w:i/>
        </w:rPr>
        <w:t xml:space="preserve">Australian Unity Wellbeing Index Survey 30.0: The wellbeing of Australians- social media, personal achievement and work. </w:t>
      </w:r>
      <w:r>
        <w:rPr>
          <w:rFonts w:ascii="Times New Roman" w:hAnsi="Times New Roman" w:cs="Times New Roman"/>
        </w:rPr>
        <w:t xml:space="preserve">Melbourne, Australia: Centre on Quality of Life, School of Psychology, Deakin University. </w:t>
      </w:r>
      <w:hyperlink r:id="rId12" w:history="1">
        <w:r w:rsidRPr="00B72E38">
          <w:rPr>
            <w:rStyle w:val="Hyperlink"/>
            <w:rFonts w:ascii="Times New Roman" w:hAnsi="Times New Roman" w:cs="Times New Roman"/>
          </w:rPr>
          <w:t>http://www.deakin.edu.au/research/acqol/index.php</w:t>
        </w:r>
      </w:hyperlink>
      <w:r>
        <w:rPr>
          <w:rFonts w:ascii="Times New Roman" w:hAnsi="Times New Roman" w:cs="Times New Roman"/>
        </w:rPr>
        <w:t xml:space="preserve">. </w:t>
      </w:r>
    </w:p>
    <w:p w:rsidR="005430A2" w:rsidRDefault="005430A2" w:rsidP="005430A2">
      <w:pPr>
        <w:spacing w:line="360" w:lineRule="auto"/>
        <w:ind w:left="709" w:hanging="709"/>
        <w:rPr>
          <w:rFonts w:ascii="Times New Roman" w:hAnsi="Times New Roman" w:cs="Times New Roman"/>
        </w:rPr>
      </w:pPr>
      <w:r w:rsidRPr="006E5777">
        <w:rPr>
          <w:rFonts w:ascii="Times New Roman" w:hAnsi="Times New Roman" w:cs="Times New Roman"/>
          <w:lang w:eastAsia="en-AU"/>
        </w:rPr>
        <w:t xml:space="preserve">Fredrickson, B. L. (1998). What good are positive emotions? </w:t>
      </w:r>
      <w:r w:rsidRPr="006E5777">
        <w:rPr>
          <w:rFonts w:ascii="Times New Roman" w:hAnsi="Times New Roman" w:cs="Times New Roman"/>
          <w:i/>
          <w:lang w:eastAsia="en-AU"/>
        </w:rPr>
        <w:t>Review of General Psychology, 2</w:t>
      </w:r>
      <w:r w:rsidRPr="006E5777">
        <w:rPr>
          <w:rFonts w:ascii="Times New Roman" w:hAnsi="Times New Roman" w:cs="Times New Roman"/>
          <w:lang w:eastAsia="en-AU"/>
        </w:rPr>
        <w:t xml:space="preserve">(3), 300-319. </w:t>
      </w:r>
    </w:p>
    <w:p w:rsidR="005430A2" w:rsidRPr="007A1EA4" w:rsidRDefault="005430A2" w:rsidP="005430A2">
      <w:pPr>
        <w:spacing w:line="360" w:lineRule="auto"/>
        <w:ind w:left="709" w:hanging="709"/>
        <w:rPr>
          <w:rFonts w:ascii="Times New Roman" w:hAnsi="Times New Roman" w:cs="Times New Roman"/>
        </w:rPr>
      </w:pPr>
      <w:r>
        <w:rPr>
          <w:rFonts w:ascii="Times New Roman" w:hAnsi="Times New Roman" w:cs="Times New Roman"/>
        </w:rPr>
        <w:t>Hu, L., &amp; Bentler, P. M. (1999). Cutoff Criteria for Fit Indexes in Covariance Structure Analysis</w:t>
      </w:r>
      <w:r w:rsidRPr="007A1EA4">
        <w:rPr>
          <w:rFonts w:ascii="Times New Roman" w:hAnsi="Times New Roman" w:cs="Times New Roman"/>
        </w:rPr>
        <w:t xml:space="preserve">: Conventional Criteria versus New Alternatives. </w:t>
      </w:r>
      <w:r w:rsidRPr="007A1EA4">
        <w:rPr>
          <w:rFonts w:ascii="Times New Roman" w:hAnsi="Times New Roman" w:cs="Times New Roman"/>
          <w:i/>
        </w:rPr>
        <w:t>Structural Equation Modeling, 6</w:t>
      </w:r>
      <w:r w:rsidRPr="007A1EA4">
        <w:rPr>
          <w:rFonts w:ascii="Times New Roman" w:hAnsi="Times New Roman" w:cs="Times New Roman"/>
        </w:rPr>
        <w:t>(1), 1-55.</w:t>
      </w:r>
    </w:p>
    <w:p w:rsidR="005430A2" w:rsidRPr="007A1EA4" w:rsidRDefault="005430A2" w:rsidP="005430A2">
      <w:pPr>
        <w:spacing w:line="360" w:lineRule="auto"/>
        <w:ind w:left="709" w:hanging="709"/>
        <w:rPr>
          <w:rFonts w:ascii="Times New Roman" w:hAnsi="Times New Roman" w:cs="Times New Roman"/>
        </w:rPr>
      </w:pPr>
      <w:r w:rsidRPr="007A1EA4">
        <w:rPr>
          <w:rFonts w:ascii="Times New Roman" w:hAnsi="Times New Roman" w:cs="Times New Roman"/>
        </w:rPr>
        <w:t xml:space="preserve">IBM Corp. </w:t>
      </w:r>
      <w:r>
        <w:rPr>
          <w:rFonts w:ascii="Times New Roman" w:hAnsi="Times New Roman" w:cs="Times New Roman"/>
        </w:rPr>
        <w:t>(2013)</w:t>
      </w:r>
      <w:r w:rsidRPr="007A1EA4">
        <w:rPr>
          <w:rFonts w:ascii="Times New Roman" w:hAnsi="Times New Roman" w:cs="Times New Roman"/>
        </w:rPr>
        <w:t>. IBM SPSS Statistics for Windows, Version 22.0. Armonk, NY: IBM Corp.</w:t>
      </w:r>
    </w:p>
    <w:p w:rsidR="005430A2" w:rsidRDefault="005430A2" w:rsidP="005430A2">
      <w:pPr>
        <w:spacing w:line="360" w:lineRule="auto"/>
        <w:ind w:left="709" w:hanging="709"/>
        <w:rPr>
          <w:rFonts w:ascii="Times New Roman" w:hAnsi="Times New Roman" w:cs="Times New Roman"/>
        </w:rPr>
      </w:pPr>
      <w:r w:rsidRPr="007A1EA4">
        <w:rPr>
          <w:rFonts w:ascii="Times New Roman" w:hAnsi="Times New Roman" w:cs="Times New Roman"/>
        </w:rPr>
        <w:t xml:space="preserve">International Wellbeing Group (2013). </w:t>
      </w:r>
      <w:r w:rsidRPr="007A1EA4">
        <w:rPr>
          <w:rFonts w:ascii="Times New Roman" w:hAnsi="Times New Roman" w:cs="Times New Roman"/>
          <w:i/>
        </w:rPr>
        <w:t xml:space="preserve">Personal Wellbeing Index </w:t>
      </w:r>
      <w:r w:rsidRPr="007A1EA4">
        <w:rPr>
          <w:rFonts w:ascii="Times New Roman" w:hAnsi="Times New Roman" w:cs="Times New Roman"/>
        </w:rPr>
        <w:t>(5th ed.).</w:t>
      </w:r>
      <w:r w:rsidRPr="007A1EA4">
        <w:rPr>
          <w:rFonts w:ascii="Times New Roman" w:hAnsi="Times New Roman" w:cs="Times New Roman"/>
          <w:i/>
        </w:rPr>
        <w:t xml:space="preserve"> Melbourne: </w:t>
      </w:r>
      <w:r w:rsidRPr="007A1EA4">
        <w:rPr>
          <w:rFonts w:ascii="Times New Roman" w:hAnsi="Times New Roman" w:cs="Times New Roman"/>
        </w:rPr>
        <w:t>Australian Centre on Quality</w:t>
      </w:r>
      <w:r w:rsidRPr="009F2F46">
        <w:rPr>
          <w:rFonts w:ascii="Times New Roman" w:hAnsi="Times New Roman" w:cs="Times New Roman"/>
        </w:rPr>
        <w:t xml:space="preserve"> of Life, Deakin University Retrieved from: </w:t>
      </w:r>
      <w:hyperlink r:id="rId13" w:history="1">
        <w:r w:rsidRPr="009F2F46">
          <w:rPr>
            <w:rStyle w:val="Hyperlink"/>
            <w:rFonts w:ascii="Times New Roman" w:hAnsi="Times New Roman" w:cs="Times New Roman"/>
          </w:rPr>
          <w:t>http://www.deakin.edu.au/research/acqol/intruments/wellbeing-index/index.php</w:t>
        </w:r>
      </w:hyperlink>
      <w:r w:rsidRPr="009F2F46">
        <w:rPr>
          <w:rFonts w:ascii="Times New Roman" w:hAnsi="Times New Roman" w:cs="Times New Roman"/>
        </w:rPr>
        <w:t>.</w:t>
      </w:r>
    </w:p>
    <w:p w:rsidR="005430A2" w:rsidRPr="007147B3" w:rsidRDefault="005430A2" w:rsidP="005430A2">
      <w:pPr>
        <w:spacing w:line="360" w:lineRule="auto"/>
        <w:ind w:left="709" w:hanging="709"/>
        <w:rPr>
          <w:rFonts w:ascii="Times New Roman" w:hAnsi="Times New Roman" w:cs="Times New Roman"/>
        </w:rPr>
      </w:pPr>
      <w:r>
        <w:rPr>
          <w:rFonts w:ascii="Times New Roman" w:hAnsi="Times New Roman" w:cs="Times New Roman"/>
        </w:rPr>
        <w:t>Kaiser, H. (</w:t>
      </w:r>
      <w:r w:rsidRPr="007147B3">
        <w:rPr>
          <w:rFonts w:ascii="Times New Roman" w:hAnsi="Times New Roman" w:cs="Times New Roman"/>
        </w:rPr>
        <w:t xml:space="preserve">1970). A second generation Little Jiffy. </w:t>
      </w:r>
      <w:r w:rsidRPr="007147B3">
        <w:rPr>
          <w:rFonts w:ascii="Times New Roman" w:hAnsi="Times New Roman" w:cs="Times New Roman"/>
          <w:i/>
        </w:rPr>
        <w:t>Psychometrika, 39,</w:t>
      </w:r>
      <w:r w:rsidRPr="007147B3">
        <w:rPr>
          <w:rFonts w:ascii="Times New Roman" w:hAnsi="Times New Roman" w:cs="Times New Roman"/>
        </w:rPr>
        <w:t xml:space="preserve"> 31-6.</w:t>
      </w:r>
    </w:p>
    <w:p w:rsidR="005430A2" w:rsidRPr="007147B3" w:rsidRDefault="005430A2" w:rsidP="005430A2">
      <w:pPr>
        <w:spacing w:line="360" w:lineRule="auto"/>
        <w:ind w:left="709" w:hanging="709"/>
        <w:rPr>
          <w:rFonts w:ascii="Times New Roman" w:hAnsi="Times New Roman" w:cs="Times New Roman"/>
        </w:rPr>
      </w:pPr>
      <w:r w:rsidRPr="007147B3">
        <w:rPr>
          <w:rFonts w:ascii="Times New Roman" w:hAnsi="Times New Roman" w:cs="Times New Roman"/>
        </w:rPr>
        <w:t xml:space="preserve">Kaiser, H. (1974). An index of factorial simplicity. </w:t>
      </w:r>
      <w:r w:rsidRPr="007147B3">
        <w:rPr>
          <w:rFonts w:ascii="Times New Roman" w:hAnsi="Times New Roman" w:cs="Times New Roman"/>
          <w:i/>
        </w:rPr>
        <w:t>Psychometrika, 39</w:t>
      </w:r>
      <w:r w:rsidRPr="007147B3">
        <w:rPr>
          <w:rFonts w:ascii="Times New Roman" w:hAnsi="Times New Roman" w:cs="Times New Roman"/>
        </w:rPr>
        <w:t>, 31-6.</w:t>
      </w:r>
    </w:p>
    <w:p w:rsidR="005430A2" w:rsidRPr="007147B3" w:rsidRDefault="005430A2" w:rsidP="005430A2">
      <w:pPr>
        <w:tabs>
          <w:tab w:val="left" w:pos="1985"/>
        </w:tabs>
        <w:spacing w:line="360" w:lineRule="auto"/>
        <w:ind w:left="709" w:hanging="709"/>
        <w:rPr>
          <w:rFonts w:ascii="Times New Roman" w:hAnsi="Times New Roman" w:cs="Times New Roman"/>
        </w:rPr>
      </w:pPr>
      <w:r w:rsidRPr="007147B3">
        <w:rPr>
          <w:rStyle w:val="Hyperlink"/>
          <w:rFonts w:ascii="Times New Roman" w:hAnsi="Times New Roman" w:cs="Times New Roman"/>
          <w:color w:val="auto"/>
          <w:u w:val="none"/>
        </w:rPr>
        <w:t xml:space="preserve">Kaplan, S., Luchman, J., &amp; Mock, L. (2013). General and Specific Question Sequence Effects in Satisfaction Surveys: Integrating Directional and Correlational Effects. </w:t>
      </w:r>
      <w:r w:rsidRPr="007147B3">
        <w:rPr>
          <w:rStyle w:val="Hyperlink"/>
          <w:rFonts w:ascii="Times New Roman" w:hAnsi="Times New Roman" w:cs="Times New Roman"/>
          <w:i/>
          <w:color w:val="auto"/>
          <w:u w:val="none"/>
        </w:rPr>
        <w:t>Journal of Happiness Studies, 14</w:t>
      </w:r>
      <w:r w:rsidRPr="007147B3">
        <w:rPr>
          <w:rStyle w:val="Hyperlink"/>
          <w:rFonts w:ascii="Times New Roman" w:hAnsi="Times New Roman" w:cs="Times New Roman"/>
          <w:color w:val="auto"/>
          <w:u w:val="none"/>
        </w:rPr>
        <w:t xml:space="preserve">(5), 1443-1458. </w:t>
      </w:r>
    </w:p>
    <w:p w:rsidR="005430A2" w:rsidRPr="007147B3" w:rsidRDefault="005430A2" w:rsidP="005430A2">
      <w:pPr>
        <w:spacing w:line="360" w:lineRule="auto"/>
        <w:ind w:left="709" w:hanging="709"/>
        <w:rPr>
          <w:rFonts w:ascii="Times New Roman" w:hAnsi="Times New Roman" w:cs="Times New Roman"/>
        </w:rPr>
      </w:pPr>
      <w:r w:rsidRPr="007147B3">
        <w:rPr>
          <w:rStyle w:val="Hyperlink"/>
          <w:rFonts w:ascii="Times New Roman" w:hAnsi="Times New Roman" w:cs="Times New Roman"/>
          <w:color w:val="auto"/>
          <w:u w:val="none"/>
        </w:rPr>
        <w:t xml:space="preserve">Kesebir, P., &amp; Diener, E. (2008). In Pursuit of Happiness: Empirical Answers to Philosophical Questions. </w:t>
      </w:r>
      <w:r w:rsidRPr="007147B3">
        <w:rPr>
          <w:rStyle w:val="Hyperlink"/>
          <w:rFonts w:ascii="Times New Roman" w:hAnsi="Times New Roman" w:cs="Times New Roman"/>
          <w:i/>
          <w:color w:val="auto"/>
          <w:u w:val="none"/>
        </w:rPr>
        <w:t>Perspectives on Psychological Science, 3</w:t>
      </w:r>
      <w:r w:rsidRPr="007147B3">
        <w:rPr>
          <w:rStyle w:val="Hyperlink"/>
          <w:rFonts w:ascii="Times New Roman" w:hAnsi="Times New Roman" w:cs="Times New Roman"/>
          <w:color w:val="auto"/>
          <w:u w:val="none"/>
        </w:rPr>
        <w:t>(2), 117-125.</w:t>
      </w:r>
    </w:p>
    <w:p w:rsidR="005430A2" w:rsidRDefault="005430A2" w:rsidP="005430A2">
      <w:pPr>
        <w:tabs>
          <w:tab w:val="left" w:pos="1985"/>
        </w:tabs>
        <w:spacing w:line="360" w:lineRule="auto"/>
        <w:ind w:left="709" w:hanging="709"/>
        <w:rPr>
          <w:rFonts w:ascii="Times New Roman" w:hAnsi="Times New Roman" w:cs="Times New Roman"/>
        </w:rPr>
      </w:pPr>
      <w:r w:rsidRPr="007147B3">
        <w:rPr>
          <w:rFonts w:ascii="Times New Roman" w:hAnsi="Times New Roman" w:cs="Times New Roman"/>
        </w:rPr>
        <w:t xml:space="preserve">Lau, A. L. D., &amp; Cummins, R. A. (2005). Test-retest Reliability of the Personal Wellbeing Index. Unpublished </w:t>
      </w:r>
      <w:r w:rsidRPr="00F1030F">
        <w:rPr>
          <w:rFonts w:ascii="Times New Roman" w:hAnsi="Times New Roman" w:cs="Times New Roman"/>
        </w:rPr>
        <w:t>research report, The Hong Kong Polytechnic University.</w:t>
      </w:r>
    </w:p>
    <w:p w:rsidR="005430A2" w:rsidRPr="00CA0717" w:rsidRDefault="005430A2" w:rsidP="005430A2">
      <w:pPr>
        <w:tabs>
          <w:tab w:val="left" w:pos="1985"/>
        </w:tabs>
        <w:spacing w:line="360" w:lineRule="auto"/>
        <w:ind w:left="709" w:hanging="709"/>
        <w:rPr>
          <w:rFonts w:ascii="Times New Roman" w:hAnsi="Times New Roman" w:cs="Times New Roman"/>
        </w:rPr>
      </w:pPr>
      <w:r>
        <w:rPr>
          <w:rFonts w:ascii="Times New Roman" w:hAnsi="Times New Roman" w:cs="Times New Roman"/>
        </w:rPr>
        <w:t xml:space="preserve">OECD. (2013). </w:t>
      </w:r>
      <w:r>
        <w:rPr>
          <w:rFonts w:ascii="Times New Roman" w:hAnsi="Times New Roman" w:cs="Times New Roman"/>
          <w:i/>
        </w:rPr>
        <w:t xml:space="preserve">Guidelines on Measuring Subjective Wellbeing. </w:t>
      </w:r>
      <w:r>
        <w:rPr>
          <w:rFonts w:ascii="Times New Roman" w:hAnsi="Times New Roman" w:cs="Times New Roman"/>
        </w:rPr>
        <w:t xml:space="preserve">Retrieved from: </w:t>
      </w:r>
      <w:hyperlink r:id="rId14" w:history="1">
        <w:r w:rsidRPr="00A542CD">
          <w:rPr>
            <w:rStyle w:val="Hyperlink"/>
            <w:rFonts w:ascii="Times New Roman" w:hAnsi="Times New Roman" w:cs="Times New Roman"/>
          </w:rPr>
          <w:t>http://www.oecd.org/statistics/Guidelines%20on%20Measuring%20Subjective%20Well-being.pdf</w:t>
        </w:r>
      </w:hyperlink>
      <w:r>
        <w:rPr>
          <w:rFonts w:ascii="Times New Roman" w:hAnsi="Times New Roman" w:cs="Times New Roman"/>
        </w:rPr>
        <w:t xml:space="preserve">. </w:t>
      </w:r>
    </w:p>
    <w:p w:rsidR="005430A2" w:rsidRDefault="005430A2" w:rsidP="005430A2">
      <w:pPr>
        <w:tabs>
          <w:tab w:val="left" w:pos="1985"/>
        </w:tabs>
        <w:spacing w:line="360" w:lineRule="auto"/>
        <w:ind w:left="709" w:hanging="709"/>
        <w:rPr>
          <w:rFonts w:ascii="Times New Roman" w:hAnsi="Times New Roman" w:cs="Times New Roman"/>
        </w:rPr>
      </w:pPr>
      <w:r>
        <w:rPr>
          <w:rFonts w:ascii="Times New Roman" w:hAnsi="Times New Roman" w:cs="Times New Roman"/>
        </w:rPr>
        <w:t xml:space="preserve">Schuman, H., &amp; Presser, S. (1981). </w:t>
      </w:r>
      <w:r>
        <w:rPr>
          <w:rFonts w:ascii="Times New Roman" w:hAnsi="Times New Roman" w:cs="Times New Roman"/>
          <w:i/>
        </w:rPr>
        <w:t xml:space="preserve">Questions and Answers in Attitude Surveys: Experiments on Question Form, Wording and Context. </w:t>
      </w:r>
      <w:r w:rsidRPr="00C81321">
        <w:rPr>
          <w:rFonts w:ascii="Times New Roman" w:hAnsi="Times New Roman" w:cs="Times New Roman"/>
        </w:rPr>
        <w:t>Amherst, Massachusetts: Academic Press, Inc.</w:t>
      </w:r>
    </w:p>
    <w:p w:rsidR="005430A2" w:rsidRDefault="005430A2" w:rsidP="005430A2">
      <w:pPr>
        <w:tabs>
          <w:tab w:val="left" w:pos="1985"/>
        </w:tabs>
        <w:spacing w:line="360" w:lineRule="auto"/>
        <w:ind w:left="709" w:hanging="709"/>
        <w:rPr>
          <w:rFonts w:ascii="Times New Roman" w:hAnsi="Times New Roman" w:cs="Times New Roman"/>
        </w:rPr>
      </w:pPr>
      <w:r w:rsidRPr="00C81321">
        <w:rPr>
          <w:rFonts w:ascii="Times New Roman" w:hAnsi="Times New Roman" w:cs="Times New Roman"/>
          <w:color w:val="000000"/>
        </w:rPr>
        <w:t>Schwarz, N., Strack</w:t>
      </w:r>
      <w:r w:rsidRPr="00C81321">
        <w:rPr>
          <w:rFonts w:ascii="Times New Roman" w:hAnsi="Times New Roman" w:cs="Times New Roman"/>
        </w:rPr>
        <w:t xml:space="preserve">, F., &amp; Mai, H. P. (1991). Assimilation and contrast effects in part-whole question sequences: A conversational logic analysis. </w:t>
      </w:r>
      <w:r w:rsidRPr="00C81321">
        <w:rPr>
          <w:rFonts w:ascii="Times New Roman" w:hAnsi="Times New Roman" w:cs="Times New Roman"/>
          <w:i/>
        </w:rPr>
        <w:t>Public Opinion Quarterly, 55</w:t>
      </w:r>
      <w:r w:rsidRPr="00C81321">
        <w:rPr>
          <w:rFonts w:ascii="Times New Roman" w:hAnsi="Times New Roman" w:cs="Times New Roman"/>
        </w:rPr>
        <w:t xml:space="preserve">, 3–23. </w:t>
      </w:r>
    </w:p>
    <w:p w:rsidR="005430A2" w:rsidRDefault="005430A2" w:rsidP="005430A2">
      <w:pPr>
        <w:tabs>
          <w:tab w:val="left" w:pos="1985"/>
        </w:tabs>
        <w:spacing w:line="360" w:lineRule="auto"/>
        <w:ind w:left="709" w:hanging="709"/>
        <w:rPr>
          <w:rFonts w:ascii="Times New Roman" w:hAnsi="Times New Roman" w:cs="Times New Roman"/>
        </w:rPr>
      </w:pPr>
      <w:r w:rsidRPr="0039702E">
        <w:rPr>
          <w:rFonts w:ascii="Times New Roman" w:hAnsi="Times New Roman" w:cs="Times New Roman"/>
        </w:rPr>
        <w:t xml:space="preserve">Strack, F., Martin, L. L., &amp; Schwarz, N. (1988). Priming and communication: Social determinants of information use in judgments of life satisfaction. </w:t>
      </w:r>
      <w:r w:rsidRPr="0039702E">
        <w:rPr>
          <w:rFonts w:ascii="Times New Roman" w:hAnsi="Times New Roman" w:cs="Times New Roman"/>
          <w:i/>
        </w:rPr>
        <w:t>European Journal of Social Psychology, 18</w:t>
      </w:r>
      <w:r w:rsidRPr="0039702E">
        <w:rPr>
          <w:rFonts w:ascii="Times New Roman" w:hAnsi="Times New Roman" w:cs="Times New Roman"/>
        </w:rPr>
        <w:t xml:space="preserve">(5), 429-442. </w:t>
      </w:r>
    </w:p>
    <w:p w:rsidR="005430A2" w:rsidRDefault="005430A2" w:rsidP="005430A2">
      <w:pPr>
        <w:tabs>
          <w:tab w:val="left" w:pos="1985"/>
        </w:tabs>
        <w:spacing w:line="360" w:lineRule="auto"/>
        <w:ind w:left="709" w:hanging="709"/>
        <w:rPr>
          <w:rFonts w:ascii="Times New Roman" w:hAnsi="Times New Roman" w:cs="Times New Roman"/>
        </w:rPr>
      </w:pPr>
      <w:r w:rsidRPr="00834DF1">
        <w:rPr>
          <w:rFonts w:ascii="Times New Roman" w:hAnsi="Times New Roman" w:cs="Times New Roman"/>
        </w:rPr>
        <w:t xml:space="preserve">Tourangeau, R., &amp; Rasinski, K. A. (1988). Cognitive processes underlying context effects in attitude measurement. </w:t>
      </w:r>
      <w:r w:rsidRPr="00834DF1">
        <w:rPr>
          <w:rFonts w:ascii="Times New Roman" w:hAnsi="Times New Roman" w:cs="Times New Roman"/>
          <w:i/>
        </w:rPr>
        <w:t>Psychological Bulletin, 103</w:t>
      </w:r>
      <w:r>
        <w:rPr>
          <w:rFonts w:ascii="Times New Roman" w:hAnsi="Times New Roman" w:cs="Times New Roman"/>
        </w:rPr>
        <w:t xml:space="preserve">, 299–314. </w:t>
      </w:r>
    </w:p>
    <w:p w:rsidR="005430A2" w:rsidRDefault="005430A2" w:rsidP="005430A2">
      <w:pPr>
        <w:tabs>
          <w:tab w:val="left" w:pos="1985"/>
        </w:tabs>
        <w:spacing w:line="360" w:lineRule="auto"/>
        <w:ind w:left="709" w:hanging="709"/>
        <w:rPr>
          <w:rFonts w:ascii="Times New Roman" w:hAnsi="Times New Roman" w:cs="Times New Roman"/>
        </w:rPr>
      </w:pPr>
    </w:p>
    <w:p w:rsidR="005430A2" w:rsidRDefault="005430A2" w:rsidP="005430A2">
      <w:pPr>
        <w:tabs>
          <w:tab w:val="left" w:pos="1985"/>
        </w:tabs>
        <w:spacing w:line="360" w:lineRule="auto"/>
        <w:ind w:left="709" w:hanging="709"/>
        <w:rPr>
          <w:rFonts w:ascii="Times New Roman" w:hAnsi="Times New Roman" w:cs="Times New Roman"/>
        </w:rPr>
      </w:pPr>
    </w:p>
    <w:p w:rsidR="005430A2" w:rsidRPr="00747562" w:rsidRDefault="005430A2" w:rsidP="005430A2">
      <w:pPr>
        <w:spacing w:line="360" w:lineRule="auto"/>
        <w:rPr>
          <w:rFonts w:ascii="Times New Roman" w:hAnsi="Times New Roman" w:cs="Times New Roman"/>
        </w:rPr>
      </w:pPr>
    </w:p>
    <w:p w:rsidR="005430A2" w:rsidRDefault="005430A2" w:rsidP="005430A2">
      <w:pPr>
        <w:spacing w:line="360" w:lineRule="auto"/>
        <w:rPr>
          <w:rFonts w:ascii="Times New Roman" w:hAnsi="Times New Roman" w:cs="Times New Roman"/>
        </w:rPr>
      </w:pPr>
      <w:r>
        <w:rPr>
          <w:rFonts w:ascii="Times New Roman" w:hAnsi="Times New Roman" w:cs="Times New Roman"/>
        </w:rPr>
        <w:br w:type="page"/>
      </w:r>
    </w:p>
    <w:p w:rsidR="005430A2" w:rsidRDefault="005430A2" w:rsidP="005430A2">
      <w:pPr>
        <w:spacing w:line="360" w:lineRule="auto"/>
        <w:ind w:left="709" w:hanging="709"/>
        <w:jc w:val="center"/>
        <w:rPr>
          <w:rFonts w:ascii="Times New Roman" w:hAnsi="Times New Roman" w:cs="Times New Roman"/>
        </w:rPr>
      </w:pPr>
      <w:r>
        <w:rPr>
          <w:rFonts w:ascii="Times New Roman" w:hAnsi="Times New Roman" w:cs="Times New Roman"/>
        </w:rPr>
        <w:t>APPENDIX A: ETHICS APPROVAL</w:t>
      </w:r>
    </w:p>
    <w:tbl>
      <w:tblPr>
        <w:tblpPr w:leftFromText="180" w:rightFromText="180" w:vertAnchor="text" w:horzAnchor="margin" w:tblpY="-61"/>
        <w:tblW w:w="8916" w:type="dxa"/>
        <w:tblCellMar>
          <w:top w:w="56" w:type="dxa"/>
          <w:right w:w="115" w:type="dxa"/>
        </w:tblCellMar>
        <w:tblLook w:val="04A0" w:firstRow="1" w:lastRow="0" w:firstColumn="1" w:lastColumn="0" w:noHBand="0" w:noVBand="1"/>
      </w:tblPr>
      <w:tblGrid>
        <w:gridCol w:w="1407"/>
        <w:gridCol w:w="7509"/>
      </w:tblGrid>
      <w:tr w:rsidR="005430A2" w:rsidRPr="005B34FF">
        <w:trPr>
          <w:trHeight w:val="719"/>
        </w:trPr>
        <w:tc>
          <w:tcPr>
            <w:tcW w:w="1407" w:type="dxa"/>
            <w:tcBorders>
              <w:top w:val="single" w:sz="4" w:space="0" w:color="000000"/>
              <w:left w:val="single" w:sz="4" w:space="0" w:color="000000"/>
              <w:bottom w:val="single" w:sz="4" w:space="0" w:color="000000"/>
              <w:right w:val="single" w:sz="4" w:space="0" w:color="000000"/>
            </w:tcBorders>
          </w:tcPr>
          <w:p w:rsidR="005430A2" w:rsidRPr="005B34FF" w:rsidRDefault="005430A2" w:rsidP="000A66D4">
            <w:pPr>
              <w:spacing w:line="259" w:lineRule="auto"/>
              <w:rPr>
                <w:rFonts w:ascii="Times New Roman" w:hAnsi="Times New Roman" w:cs="Times New Roman"/>
              </w:rPr>
            </w:pPr>
            <w:r w:rsidRPr="005B34FF">
              <w:rPr>
                <w:rFonts w:ascii="Times New Roman" w:eastAsia="Calibri" w:hAnsi="Times New Roman" w:cs="Times New Roman"/>
                <w:b/>
              </w:rPr>
              <w:t xml:space="preserve">To: </w:t>
            </w:r>
          </w:p>
        </w:tc>
        <w:tc>
          <w:tcPr>
            <w:tcW w:w="7509" w:type="dxa"/>
            <w:tcBorders>
              <w:top w:val="single" w:sz="4" w:space="0" w:color="000000"/>
              <w:left w:val="single" w:sz="4" w:space="0" w:color="000000"/>
              <w:bottom w:val="single" w:sz="4" w:space="0" w:color="000000"/>
              <w:right w:val="single" w:sz="4" w:space="0" w:color="000000"/>
            </w:tcBorders>
          </w:tcPr>
          <w:p w:rsidR="005430A2" w:rsidRPr="005B34FF" w:rsidRDefault="005430A2" w:rsidP="000A66D4">
            <w:pPr>
              <w:spacing w:after="50" w:line="259" w:lineRule="auto"/>
              <w:rPr>
                <w:rFonts w:ascii="Times New Roman" w:hAnsi="Times New Roman" w:cs="Times New Roman"/>
              </w:rPr>
            </w:pPr>
            <w:r w:rsidRPr="005B34FF">
              <w:rPr>
                <w:rFonts w:ascii="Times New Roman" w:hAnsi="Times New Roman" w:cs="Times New Roman"/>
              </w:rPr>
              <w:t xml:space="preserve">Dr Melissa Weinberg </w:t>
            </w:r>
          </w:p>
          <w:p w:rsidR="005430A2" w:rsidRPr="005B34FF" w:rsidRDefault="005430A2" w:rsidP="000A66D4">
            <w:pPr>
              <w:spacing w:line="259" w:lineRule="auto"/>
              <w:rPr>
                <w:rFonts w:ascii="Times New Roman" w:hAnsi="Times New Roman" w:cs="Times New Roman"/>
              </w:rPr>
            </w:pPr>
            <w:r w:rsidRPr="005B34FF">
              <w:rPr>
                <w:rFonts w:ascii="Times New Roman" w:hAnsi="Times New Roman" w:cs="Times New Roman"/>
              </w:rPr>
              <w:t xml:space="preserve">School of Psychology </w:t>
            </w:r>
          </w:p>
        </w:tc>
      </w:tr>
      <w:tr w:rsidR="005430A2" w:rsidRPr="005B34FF">
        <w:trPr>
          <w:trHeight w:val="721"/>
        </w:trPr>
        <w:tc>
          <w:tcPr>
            <w:tcW w:w="1407" w:type="dxa"/>
            <w:tcBorders>
              <w:top w:val="single" w:sz="4" w:space="0" w:color="000000"/>
              <w:left w:val="single" w:sz="4" w:space="0" w:color="000000"/>
              <w:bottom w:val="single" w:sz="4" w:space="0" w:color="000000"/>
              <w:right w:val="single" w:sz="4" w:space="0" w:color="000000"/>
            </w:tcBorders>
          </w:tcPr>
          <w:p w:rsidR="005430A2" w:rsidRPr="005B34FF" w:rsidRDefault="005430A2" w:rsidP="000A66D4">
            <w:pPr>
              <w:spacing w:line="259" w:lineRule="auto"/>
              <w:rPr>
                <w:rFonts w:ascii="Times New Roman" w:hAnsi="Times New Roman" w:cs="Times New Roman"/>
              </w:rPr>
            </w:pPr>
            <w:r w:rsidRPr="005B34FF">
              <w:rPr>
                <w:rFonts w:ascii="Times New Roman" w:eastAsia="Calibri" w:hAnsi="Times New Roman" w:cs="Times New Roman"/>
                <w:b/>
              </w:rPr>
              <w:t xml:space="preserve">From: </w:t>
            </w:r>
          </w:p>
        </w:tc>
        <w:tc>
          <w:tcPr>
            <w:tcW w:w="7509" w:type="dxa"/>
            <w:tcBorders>
              <w:top w:val="single" w:sz="4" w:space="0" w:color="000000"/>
              <w:left w:val="single" w:sz="4" w:space="0" w:color="000000"/>
              <w:bottom w:val="single" w:sz="4" w:space="0" w:color="000000"/>
              <w:right w:val="single" w:sz="4" w:space="0" w:color="000000"/>
            </w:tcBorders>
          </w:tcPr>
          <w:p w:rsidR="005430A2" w:rsidRPr="005B34FF" w:rsidRDefault="005430A2" w:rsidP="000A66D4">
            <w:pPr>
              <w:spacing w:after="50" w:line="259" w:lineRule="auto"/>
              <w:rPr>
                <w:rFonts w:ascii="Times New Roman" w:hAnsi="Times New Roman" w:cs="Times New Roman"/>
              </w:rPr>
            </w:pPr>
            <w:r w:rsidRPr="005B34FF">
              <w:rPr>
                <w:rFonts w:ascii="Times New Roman" w:hAnsi="Times New Roman" w:cs="Times New Roman"/>
              </w:rPr>
              <w:t xml:space="preserve">Secretary – HEAG-H  </w:t>
            </w:r>
          </w:p>
          <w:p w:rsidR="005430A2" w:rsidRPr="005B34FF" w:rsidRDefault="005430A2" w:rsidP="000A66D4">
            <w:pPr>
              <w:spacing w:line="259" w:lineRule="auto"/>
              <w:rPr>
                <w:rFonts w:ascii="Times New Roman" w:hAnsi="Times New Roman" w:cs="Times New Roman"/>
              </w:rPr>
            </w:pPr>
            <w:r w:rsidRPr="005B34FF">
              <w:rPr>
                <w:rFonts w:ascii="Times New Roman" w:hAnsi="Times New Roman" w:cs="Times New Roman"/>
              </w:rPr>
              <w:t xml:space="preserve">Faculty of Health </w:t>
            </w:r>
          </w:p>
        </w:tc>
      </w:tr>
      <w:tr w:rsidR="005430A2" w:rsidRPr="005B34FF">
        <w:trPr>
          <w:trHeight w:val="364"/>
        </w:trPr>
        <w:tc>
          <w:tcPr>
            <w:tcW w:w="1407" w:type="dxa"/>
            <w:tcBorders>
              <w:top w:val="single" w:sz="4" w:space="0" w:color="000000"/>
              <w:left w:val="single" w:sz="4" w:space="0" w:color="000000"/>
              <w:bottom w:val="single" w:sz="4" w:space="0" w:color="000000"/>
              <w:right w:val="single" w:sz="4" w:space="0" w:color="000000"/>
            </w:tcBorders>
          </w:tcPr>
          <w:p w:rsidR="005430A2" w:rsidRPr="005B34FF" w:rsidRDefault="005430A2" w:rsidP="000A66D4">
            <w:pPr>
              <w:spacing w:line="259" w:lineRule="auto"/>
              <w:rPr>
                <w:rFonts w:ascii="Times New Roman" w:hAnsi="Times New Roman" w:cs="Times New Roman"/>
              </w:rPr>
            </w:pPr>
            <w:r w:rsidRPr="005B34FF">
              <w:rPr>
                <w:rFonts w:ascii="Times New Roman" w:eastAsia="Calibri" w:hAnsi="Times New Roman" w:cs="Times New Roman"/>
                <w:b/>
              </w:rPr>
              <w:t xml:space="preserve">CC: </w:t>
            </w:r>
          </w:p>
        </w:tc>
        <w:tc>
          <w:tcPr>
            <w:tcW w:w="7509" w:type="dxa"/>
            <w:tcBorders>
              <w:top w:val="single" w:sz="4" w:space="0" w:color="000000"/>
              <w:left w:val="single" w:sz="4" w:space="0" w:color="000000"/>
              <w:bottom w:val="single" w:sz="4" w:space="0" w:color="000000"/>
              <w:right w:val="single" w:sz="4" w:space="0" w:color="000000"/>
            </w:tcBorders>
          </w:tcPr>
          <w:p w:rsidR="005430A2" w:rsidRPr="005B34FF" w:rsidRDefault="005430A2" w:rsidP="000A66D4">
            <w:pPr>
              <w:spacing w:line="259" w:lineRule="auto"/>
              <w:rPr>
                <w:rFonts w:ascii="Times New Roman" w:hAnsi="Times New Roman" w:cs="Times New Roman"/>
              </w:rPr>
            </w:pPr>
            <w:r w:rsidRPr="005B34FF">
              <w:rPr>
                <w:rFonts w:ascii="Times New Roman" w:hAnsi="Times New Roman" w:cs="Times New Roman"/>
              </w:rPr>
              <w:t xml:space="preserve">Nikki Cameron, Catherine Seton </w:t>
            </w:r>
          </w:p>
        </w:tc>
      </w:tr>
      <w:tr w:rsidR="005430A2" w:rsidRPr="005B34FF">
        <w:trPr>
          <w:trHeight w:val="362"/>
        </w:trPr>
        <w:tc>
          <w:tcPr>
            <w:tcW w:w="1407" w:type="dxa"/>
            <w:tcBorders>
              <w:top w:val="single" w:sz="4" w:space="0" w:color="000000"/>
              <w:left w:val="single" w:sz="4" w:space="0" w:color="000000"/>
              <w:bottom w:val="single" w:sz="4" w:space="0" w:color="000000"/>
              <w:right w:val="single" w:sz="4" w:space="0" w:color="000000"/>
            </w:tcBorders>
          </w:tcPr>
          <w:p w:rsidR="005430A2" w:rsidRPr="005B34FF" w:rsidRDefault="005430A2" w:rsidP="000A66D4">
            <w:pPr>
              <w:spacing w:line="259" w:lineRule="auto"/>
              <w:rPr>
                <w:rFonts w:ascii="Times New Roman" w:hAnsi="Times New Roman" w:cs="Times New Roman"/>
              </w:rPr>
            </w:pPr>
            <w:r w:rsidRPr="005B34FF">
              <w:rPr>
                <w:rFonts w:ascii="Times New Roman" w:eastAsia="Calibri" w:hAnsi="Times New Roman" w:cs="Times New Roman"/>
                <w:b/>
              </w:rPr>
              <w:t xml:space="preserve">Date: </w:t>
            </w:r>
          </w:p>
        </w:tc>
        <w:tc>
          <w:tcPr>
            <w:tcW w:w="7509" w:type="dxa"/>
            <w:tcBorders>
              <w:top w:val="single" w:sz="4" w:space="0" w:color="000000"/>
              <w:left w:val="single" w:sz="4" w:space="0" w:color="000000"/>
              <w:bottom w:val="single" w:sz="4" w:space="0" w:color="000000"/>
              <w:right w:val="single" w:sz="4" w:space="0" w:color="000000"/>
            </w:tcBorders>
          </w:tcPr>
          <w:p w:rsidR="005430A2" w:rsidRPr="005B34FF" w:rsidRDefault="005430A2" w:rsidP="000A66D4">
            <w:pPr>
              <w:spacing w:line="259" w:lineRule="auto"/>
              <w:rPr>
                <w:rFonts w:ascii="Times New Roman" w:hAnsi="Times New Roman" w:cs="Times New Roman"/>
              </w:rPr>
            </w:pPr>
            <w:r w:rsidRPr="005B34FF">
              <w:rPr>
                <w:rFonts w:ascii="Times New Roman" w:hAnsi="Times New Roman" w:cs="Times New Roman"/>
              </w:rPr>
              <w:t>12</w:t>
            </w:r>
            <w:r w:rsidRPr="005B34FF">
              <w:rPr>
                <w:rFonts w:ascii="Times New Roman" w:hAnsi="Times New Roman" w:cs="Times New Roman"/>
                <w:vertAlign w:val="superscript"/>
              </w:rPr>
              <w:t>th</w:t>
            </w:r>
            <w:r w:rsidRPr="005B34FF">
              <w:rPr>
                <w:rFonts w:ascii="Times New Roman" w:hAnsi="Times New Roman" w:cs="Times New Roman"/>
              </w:rPr>
              <w:t xml:space="preserve"> May, 2014 </w:t>
            </w:r>
          </w:p>
        </w:tc>
      </w:tr>
      <w:tr w:rsidR="005430A2" w:rsidRPr="005B34FF">
        <w:trPr>
          <w:trHeight w:val="658"/>
        </w:trPr>
        <w:tc>
          <w:tcPr>
            <w:tcW w:w="1407" w:type="dxa"/>
            <w:tcBorders>
              <w:top w:val="single" w:sz="4" w:space="0" w:color="000000"/>
              <w:left w:val="single" w:sz="4" w:space="0" w:color="000000"/>
              <w:bottom w:val="single" w:sz="4" w:space="0" w:color="000000"/>
              <w:right w:val="single" w:sz="4" w:space="0" w:color="000000"/>
            </w:tcBorders>
          </w:tcPr>
          <w:p w:rsidR="005430A2" w:rsidRPr="005B34FF" w:rsidRDefault="005430A2" w:rsidP="000A66D4">
            <w:pPr>
              <w:spacing w:line="259" w:lineRule="auto"/>
              <w:rPr>
                <w:rFonts w:ascii="Times New Roman" w:hAnsi="Times New Roman" w:cs="Times New Roman"/>
              </w:rPr>
            </w:pPr>
            <w:r w:rsidRPr="005B34FF">
              <w:rPr>
                <w:rFonts w:ascii="Times New Roman" w:eastAsia="Calibri" w:hAnsi="Times New Roman" w:cs="Times New Roman"/>
                <w:b/>
              </w:rPr>
              <w:t xml:space="preserve">Re: </w:t>
            </w:r>
          </w:p>
        </w:tc>
        <w:tc>
          <w:tcPr>
            <w:tcW w:w="7509" w:type="dxa"/>
            <w:tcBorders>
              <w:top w:val="single" w:sz="4" w:space="0" w:color="000000"/>
              <w:left w:val="single" w:sz="4" w:space="0" w:color="000000"/>
              <w:bottom w:val="single" w:sz="4" w:space="0" w:color="000000"/>
              <w:right w:val="single" w:sz="4" w:space="0" w:color="000000"/>
            </w:tcBorders>
          </w:tcPr>
          <w:p w:rsidR="005430A2" w:rsidRPr="005B34FF" w:rsidRDefault="005430A2" w:rsidP="000A66D4">
            <w:pPr>
              <w:spacing w:line="259" w:lineRule="auto"/>
              <w:rPr>
                <w:rFonts w:ascii="Times New Roman" w:hAnsi="Times New Roman" w:cs="Times New Roman"/>
              </w:rPr>
            </w:pPr>
            <w:r w:rsidRPr="005B34FF">
              <w:rPr>
                <w:rFonts w:ascii="Times New Roman" w:hAnsi="Times New Roman" w:cs="Times New Roman"/>
              </w:rPr>
              <w:t xml:space="preserve">HEAG-H 64_2014: An investigation of the psychometric properties of the personal wellbeing index </w:t>
            </w:r>
          </w:p>
        </w:tc>
      </w:tr>
    </w:tbl>
    <w:p w:rsidR="005430A2" w:rsidRPr="005B34FF" w:rsidRDefault="005430A2" w:rsidP="005430A2">
      <w:pPr>
        <w:ind w:right="4511"/>
      </w:pPr>
      <w:r>
        <w:rPr>
          <w:rFonts w:ascii="Times New Roman" w:hAnsi="Times New Roman" w:cs="Times New Roman"/>
        </w:rPr>
        <w:t xml:space="preserve"> </w:t>
      </w:r>
      <w:r w:rsidRPr="005B34FF">
        <w:rPr>
          <w:rFonts w:ascii="Times New Roman" w:hAnsi="Times New Roman" w:cs="Times New Roman"/>
        </w:rPr>
        <w:t xml:space="preserve"> </w:t>
      </w:r>
    </w:p>
    <w:p w:rsidR="005430A2" w:rsidRPr="005B34FF" w:rsidRDefault="005430A2" w:rsidP="005430A2">
      <w:pPr>
        <w:ind w:right="997"/>
        <w:rPr>
          <w:rFonts w:ascii="Times New Roman" w:hAnsi="Times New Roman" w:cs="Times New Roman"/>
        </w:rPr>
      </w:pPr>
      <w:r w:rsidRPr="005B34FF">
        <w:rPr>
          <w:rFonts w:ascii="Times New Roman" w:eastAsia="Calibri" w:hAnsi="Times New Roman" w:cs="Times New Roman"/>
          <w:b/>
        </w:rPr>
        <w:t>Approval has been given for Melissa Weinberg, School of Psychology, to undertake this project for a period of 1 year from 12</w:t>
      </w:r>
      <w:r w:rsidRPr="005B34FF">
        <w:rPr>
          <w:rFonts w:ascii="Times New Roman" w:eastAsia="Calibri" w:hAnsi="Times New Roman" w:cs="Times New Roman"/>
          <w:b/>
          <w:vertAlign w:val="superscript"/>
        </w:rPr>
        <w:t>th</w:t>
      </w:r>
      <w:r w:rsidRPr="005B34FF">
        <w:rPr>
          <w:rFonts w:ascii="Times New Roman" w:eastAsia="Calibri" w:hAnsi="Times New Roman" w:cs="Times New Roman"/>
          <w:b/>
        </w:rPr>
        <w:t xml:space="preserve"> May, 2014.  </w:t>
      </w:r>
      <w:r w:rsidRPr="005B34FF">
        <w:rPr>
          <w:rFonts w:ascii="Times New Roman" w:eastAsia="Calibri" w:hAnsi="Times New Roman" w:cs="Times New Roman"/>
          <w:b/>
          <w:color w:val="FF0000"/>
        </w:rPr>
        <w:t xml:space="preserve"> </w:t>
      </w:r>
      <w:r>
        <w:rPr>
          <w:rFonts w:ascii="Times New Roman" w:eastAsia="Calibri" w:hAnsi="Times New Roman" w:cs="Times New Roman"/>
          <w:b/>
        </w:rPr>
        <w:t xml:space="preserve">The </w:t>
      </w:r>
      <w:r w:rsidRPr="005B34FF">
        <w:rPr>
          <w:rFonts w:ascii="Times New Roman" w:eastAsia="Calibri" w:hAnsi="Times New Roman" w:cs="Times New Roman"/>
          <w:b/>
        </w:rPr>
        <w:t>current end date for this project is 12</w:t>
      </w:r>
      <w:r w:rsidRPr="005B34FF">
        <w:rPr>
          <w:rFonts w:ascii="Times New Roman" w:eastAsia="Calibri" w:hAnsi="Times New Roman" w:cs="Times New Roman"/>
          <w:b/>
          <w:vertAlign w:val="superscript"/>
        </w:rPr>
        <w:t>th</w:t>
      </w:r>
      <w:r w:rsidRPr="005B34FF">
        <w:rPr>
          <w:rFonts w:ascii="Times New Roman" w:eastAsia="Calibri" w:hAnsi="Times New Roman" w:cs="Times New Roman"/>
          <w:b/>
        </w:rPr>
        <w:t xml:space="preserve"> May, 2015</w:t>
      </w:r>
      <w:r w:rsidRPr="005B34FF">
        <w:rPr>
          <w:rFonts w:ascii="Times New Roman" w:eastAsia="Calibri" w:hAnsi="Times New Roman" w:cs="Times New Roman"/>
          <w:b/>
          <w:color w:val="FF0000"/>
        </w:rPr>
        <w:t xml:space="preserve">. </w:t>
      </w:r>
    </w:p>
    <w:p w:rsidR="005430A2" w:rsidRPr="005B34FF" w:rsidRDefault="005430A2" w:rsidP="005430A2">
      <w:pPr>
        <w:ind w:left="720"/>
        <w:rPr>
          <w:rFonts w:ascii="Times New Roman" w:hAnsi="Times New Roman" w:cs="Times New Roman"/>
        </w:rPr>
      </w:pPr>
      <w:r w:rsidRPr="005B34FF">
        <w:rPr>
          <w:rFonts w:ascii="Times New Roman" w:hAnsi="Times New Roman" w:cs="Times New Roman"/>
        </w:rPr>
        <w:t xml:space="preserve"> </w:t>
      </w:r>
    </w:p>
    <w:p w:rsidR="005430A2" w:rsidRDefault="005430A2" w:rsidP="005430A2">
      <w:pPr>
        <w:rPr>
          <w:rFonts w:ascii="Times New Roman" w:hAnsi="Times New Roman" w:cs="Times New Roman"/>
        </w:rPr>
      </w:pPr>
      <w:r w:rsidRPr="005B34FF">
        <w:rPr>
          <w:rFonts w:ascii="Times New Roman" w:hAnsi="Times New Roman" w:cs="Times New Roman"/>
        </w:rPr>
        <w:t xml:space="preserve">The approval given by the Deakin University HEAG - H is given only for the project and for the period as stated in the approval.  It is your responsibility to contact the Secretary immediately should any of the following occur: </w:t>
      </w:r>
    </w:p>
    <w:p w:rsidR="005430A2" w:rsidRDefault="005430A2" w:rsidP="005430A2">
      <w:pPr>
        <w:pStyle w:val="ListParagraph"/>
        <w:numPr>
          <w:ilvl w:val="0"/>
          <w:numId w:val="38"/>
        </w:numPr>
        <w:rPr>
          <w:rFonts w:ascii="Times New Roman" w:hAnsi="Times New Roman" w:cs="Times New Roman"/>
          <w:sz w:val="24"/>
          <w:szCs w:val="24"/>
        </w:rPr>
      </w:pPr>
      <w:r w:rsidRPr="005B34FF">
        <w:rPr>
          <w:rFonts w:ascii="Times New Roman" w:hAnsi="Times New Roman" w:cs="Times New Roman"/>
          <w:sz w:val="24"/>
          <w:szCs w:val="24"/>
        </w:rPr>
        <w:t xml:space="preserve">Serious or unexpected adverse effects on the participants </w:t>
      </w:r>
    </w:p>
    <w:p w:rsidR="005430A2" w:rsidRDefault="005430A2" w:rsidP="005430A2">
      <w:pPr>
        <w:pStyle w:val="ListParagraph"/>
        <w:numPr>
          <w:ilvl w:val="0"/>
          <w:numId w:val="38"/>
        </w:numPr>
        <w:rPr>
          <w:rFonts w:ascii="Times New Roman" w:hAnsi="Times New Roman" w:cs="Times New Roman"/>
          <w:sz w:val="24"/>
          <w:szCs w:val="24"/>
        </w:rPr>
      </w:pPr>
      <w:r w:rsidRPr="005B34FF">
        <w:rPr>
          <w:rFonts w:ascii="Times New Roman" w:hAnsi="Times New Roman" w:cs="Times New Roman"/>
          <w:sz w:val="24"/>
          <w:szCs w:val="24"/>
        </w:rPr>
        <w:t xml:space="preserve">Any proposed changes in the protocol, including extensions of time </w:t>
      </w:r>
    </w:p>
    <w:p w:rsidR="005430A2" w:rsidRDefault="005430A2" w:rsidP="005430A2">
      <w:pPr>
        <w:pStyle w:val="ListParagraph"/>
        <w:numPr>
          <w:ilvl w:val="0"/>
          <w:numId w:val="38"/>
        </w:numPr>
        <w:rPr>
          <w:rFonts w:ascii="Times New Roman" w:hAnsi="Times New Roman" w:cs="Times New Roman"/>
          <w:sz w:val="24"/>
          <w:szCs w:val="24"/>
        </w:rPr>
      </w:pPr>
      <w:r w:rsidRPr="005B34FF">
        <w:rPr>
          <w:rFonts w:ascii="Times New Roman" w:hAnsi="Times New Roman" w:cs="Times New Roman"/>
          <w:sz w:val="24"/>
          <w:szCs w:val="24"/>
        </w:rPr>
        <w:t xml:space="preserve">Any events which might affect the continuing ethical acceptability of the project </w:t>
      </w:r>
    </w:p>
    <w:p w:rsidR="005430A2" w:rsidRDefault="005430A2" w:rsidP="005430A2">
      <w:pPr>
        <w:pStyle w:val="ListParagraph"/>
        <w:numPr>
          <w:ilvl w:val="0"/>
          <w:numId w:val="38"/>
        </w:numPr>
        <w:rPr>
          <w:rFonts w:ascii="Times New Roman" w:hAnsi="Times New Roman" w:cs="Times New Roman"/>
          <w:sz w:val="24"/>
          <w:szCs w:val="24"/>
        </w:rPr>
      </w:pPr>
      <w:r w:rsidRPr="005B34FF">
        <w:rPr>
          <w:rFonts w:ascii="Times New Roman" w:hAnsi="Times New Roman" w:cs="Times New Roman"/>
          <w:sz w:val="24"/>
          <w:szCs w:val="24"/>
        </w:rPr>
        <w:t xml:space="preserve">The project is discontinued before the expected date of completion </w:t>
      </w:r>
    </w:p>
    <w:p w:rsidR="005430A2" w:rsidRPr="005B34FF" w:rsidRDefault="005430A2" w:rsidP="005430A2">
      <w:pPr>
        <w:pStyle w:val="ListParagraph"/>
        <w:numPr>
          <w:ilvl w:val="0"/>
          <w:numId w:val="38"/>
        </w:numPr>
        <w:rPr>
          <w:rFonts w:ascii="Times New Roman" w:hAnsi="Times New Roman" w:cs="Times New Roman"/>
          <w:sz w:val="24"/>
          <w:szCs w:val="24"/>
        </w:rPr>
      </w:pPr>
      <w:r w:rsidRPr="005B34FF">
        <w:rPr>
          <w:rFonts w:ascii="Times New Roman" w:hAnsi="Times New Roman" w:cs="Times New Roman"/>
          <w:sz w:val="24"/>
          <w:szCs w:val="24"/>
        </w:rPr>
        <w:t xml:space="preserve">Modifications that have been requested by other Human Research Ethics Committees </w:t>
      </w:r>
    </w:p>
    <w:p w:rsidR="005430A2" w:rsidRDefault="005430A2" w:rsidP="005430A2">
      <w:pPr>
        <w:rPr>
          <w:rFonts w:ascii="Times New Roman" w:eastAsia="Calibri" w:hAnsi="Times New Roman" w:cs="Times New Roman"/>
          <w:b/>
        </w:rPr>
      </w:pPr>
      <w:r w:rsidRPr="005B34FF">
        <w:rPr>
          <w:rFonts w:ascii="Times New Roman" w:eastAsia="Calibri" w:hAnsi="Times New Roman" w:cs="Times New Roman"/>
          <w:b/>
        </w:rPr>
        <w:t xml:space="preserve">In addition you will be required to report on the progress of your project at least once every year and at the conclusion of the project.   Failure to report as required will result in suspension of your approval to proceed with the project. </w:t>
      </w:r>
    </w:p>
    <w:p w:rsidR="005430A2" w:rsidRPr="005B34FF" w:rsidRDefault="005430A2" w:rsidP="005430A2">
      <w:pPr>
        <w:rPr>
          <w:rFonts w:ascii="Times New Roman" w:hAnsi="Times New Roman" w:cs="Times New Roman"/>
        </w:rPr>
      </w:pPr>
    </w:p>
    <w:p w:rsidR="005430A2" w:rsidRPr="005B34FF" w:rsidRDefault="005430A2" w:rsidP="005430A2">
      <w:pPr>
        <w:rPr>
          <w:rFonts w:ascii="Times New Roman" w:hAnsi="Times New Roman" w:cs="Times New Roman"/>
        </w:rPr>
      </w:pPr>
      <w:r w:rsidRPr="005B34FF">
        <w:rPr>
          <w:rFonts w:ascii="Times New Roman" w:eastAsia="Calibri" w:hAnsi="Times New Roman" w:cs="Times New Roman"/>
          <w:b/>
        </w:rPr>
        <w:t xml:space="preserve">An Annual Project Report Form can be found at:  </w:t>
      </w:r>
      <w:hyperlink r:id="rId15">
        <w:r w:rsidRPr="005B34FF">
          <w:rPr>
            <w:rFonts w:ascii="Times New Roman" w:eastAsia="Calibri" w:hAnsi="Times New Roman" w:cs="Times New Roman"/>
            <w:b/>
            <w:color w:val="0000FF"/>
            <w:u w:val="single" w:color="0000FF"/>
          </w:rPr>
          <w:t>http://www.deakin.edu.au/hmnbs/research/ethics/ethicssubmissionprocess.php</w:t>
        </w:r>
      </w:hyperlink>
      <w:hyperlink r:id="rId16">
        <w:r w:rsidRPr="005B34FF">
          <w:rPr>
            <w:rFonts w:ascii="Times New Roman" w:eastAsia="Calibri" w:hAnsi="Times New Roman" w:cs="Times New Roman"/>
            <w:b/>
          </w:rPr>
          <w:t xml:space="preserve"> </w:t>
        </w:r>
      </w:hyperlink>
    </w:p>
    <w:p w:rsidR="005430A2" w:rsidRDefault="005430A2" w:rsidP="005430A2">
      <w:pPr>
        <w:rPr>
          <w:rFonts w:ascii="Times New Roman" w:hAnsi="Times New Roman" w:cs="Times New Roman"/>
        </w:rPr>
      </w:pPr>
      <w:r w:rsidRPr="005B34FF">
        <w:rPr>
          <w:rFonts w:ascii="Times New Roman" w:hAnsi="Times New Roman" w:cs="Times New Roman"/>
        </w:rPr>
        <w:t xml:space="preserve">This should be completed and returned to the Administrative Officer to the HEAG-H, Pro-Vice Chancellor’s office, Faculty of Health, Burwood campus by </w:t>
      </w:r>
      <w:r w:rsidRPr="005B34FF">
        <w:rPr>
          <w:rFonts w:ascii="Times New Roman" w:eastAsia="Calibri" w:hAnsi="Times New Roman" w:cs="Times New Roman"/>
          <w:b/>
        </w:rPr>
        <w:t>Tuesday 18th November, 2014</w:t>
      </w:r>
      <w:r w:rsidRPr="005B34FF">
        <w:rPr>
          <w:rFonts w:ascii="Times New Roman" w:hAnsi="Times New Roman" w:cs="Times New Roman"/>
        </w:rPr>
        <w:t xml:space="preserve"> and when the project is completed.  HEAG-H may need to audit this project as part of the requirements for monitoring set out in the National Statement on Ethical Conduct in Human Research (2007).   </w:t>
      </w:r>
    </w:p>
    <w:p w:rsidR="005430A2" w:rsidRPr="005B34FF" w:rsidRDefault="005430A2" w:rsidP="005430A2">
      <w:pPr>
        <w:rPr>
          <w:rFonts w:ascii="Times New Roman" w:hAnsi="Times New Roman" w:cs="Times New Roman"/>
        </w:rPr>
      </w:pPr>
      <w:r w:rsidRPr="005B34FF">
        <w:rPr>
          <w:rFonts w:ascii="Times New Roman" w:hAnsi="Times New Roman" w:cs="Times New Roman"/>
        </w:rPr>
        <w:t xml:space="preserve"> </w:t>
      </w:r>
    </w:p>
    <w:p w:rsidR="005430A2" w:rsidRPr="005B34FF" w:rsidRDefault="005430A2" w:rsidP="005430A2">
      <w:pPr>
        <w:spacing w:after="1113"/>
        <w:rPr>
          <w:rFonts w:ascii="Times New Roman" w:hAnsi="Times New Roman" w:cs="Times New Roman"/>
        </w:rPr>
      </w:pPr>
      <w:r w:rsidRPr="005B34FF">
        <w:rPr>
          <w:rFonts w:ascii="Times New Roman" w:hAnsi="Times New Roman" w:cs="Times New Roman"/>
        </w:rPr>
        <w:t xml:space="preserve">Good luck with the project! </w:t>
      </w:r>
    </w:p>
    <w:p w:rsidR="005430A2" w:rsidRPr="005B34FF" w:rsidRDefault="005430A2" w:rsidP="005430A2">
      <w:pPr>
        <w:spacing w:after="451"/>
        <w:rPr>
          <w:rFonts w:ascii="Times New Roman" w:hAnsi="Times New Roman" w:cs="Times New Roman"/>
        </w:rPr>
      </w:pPr>
      <w:r w:rsidRPr="005B34FF">
        <w:rPr>
          <w:rFonts w:ascii="Times New Roman" w:hAnsi="Times New Roman" w:cs="Times New Roman"/>
        </w:rPr>
        <w:t xml:space="preserve"> </w:t>
      </w:r>
    </w:p>
    <w:p w:rsidR="005430A2" w:rsidRPr="005B34FF" w:rsidRDefault="005430A2" w:rsidP="005430A2">
      <w:pPr>
        <w:spacing w:after="241" w:line="463" w:lineRule="auto"/>
        <w:ind w:left="10" w:right="-15"/>
        <w:jc w:val="right"/>
        <w:rPr>
          <w:rFonts w:ascii="Times New Roman" w:hAnsi="Times New Roman" w:cs="Times New Roman"/>
        </w:rPr>
      </w:pPr>
      <w:r w:rsidRPr="005B34FF">
        <w:rPr>
          <w:rFonts w:ascii="Times New Roman" w:hAnsi="Times New Roman" w:cs="Times New Roman"/>
        </w:rPr>
        <w:t xml:space="preserve">CRICOS Provider Code: 00113B </w:t>
      </w:r>
      <w:r w:rsidR="00FF5EDE">
        <w:rPr>
          <w:rFonts w:ascii="Times New Roman" w:hAnsi="Times New Roman" w:cs="Times New Roman"/>
          <w:noProof/>
          <w:lang w:val="en-AU" w:eastAsia="en-AU"/>
        </w:rPr>
        <mc:AlternateContent>
          <mc:Choice Requires="wpg">
            <w:drawing>
              <wp:anchor distT="0" distB="0" distL="114300" distR="114300" simplePos="0" relativeHeight="251659264" behindDoc="0" locked="0" layoutInCell="1" allowOverlap="1">
                <wp:simplePos x="0" y="0"/>
                <wp:positionH relativeFrom="column">
                  <wp:posOffset>-111125</wp:posOffset>
                </wp:positionH>
                <wp:positionV relativeFrom="paragraph">
                  <wp:posOffset>-333375</wp:posOffset>
                </wp:positionV>
                <wp:extent cx="7082155" cy="504190"/>
                <wp:effectExtent l="0" t="0" r="4445" b="0"/>
                <wp:wrapSquare wrapText="bothSides"/>
                <wp:docPr id="2" name="Group 13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2155" cy="504190"/>
                          <a:chOff x="0" y="0"/>
                          <a:chExt cx="70820" cy="5044"/>
                        </a:xfrm>
                      </wpg:grpSpPr>
                      <pic:pic xmlns:pic="http://schemas.openxmlformats.org/drawingml/2006/picture">
                        <pic:nvPicPr>
                          <pic:cNvPr id="3"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820" cy="5044"/>
                          </a:xfrm>
                          <a:prstGeom prst="rect">
                            <a:avLst/>
                          </a:prstGeom>
                          <a:noFill/>
                          <a:extLst>
                            <a:ext uri="{909E8E84-426E-40DD-AFC4-6F175D3DCCD1}">
                              <a14:hiddenFill xmlns:a14="http://schemas.microsoft.com/office/drawing/2010/main">
                                <a:solidFill>
                                  <a:srgbClr val="FFFFFF"/>
                                </a:solidFill>
                              </a14:hiddenFill>
                            </a:ext>
                          </a:extLst>
                        </pic:spPr>
                      </pic:pic>
                      <wps:wsp>
                        <wps:cNvPr id="4" name="Rectangle 148"/>
                        <wps:cNvSpPr>
                          <a:spLocks noChangeArrowheads="1"/>
                        </wps:cNvSpPr>
                        <wps:spPr bwMode="auto">
                          <a:xfrm>
                            <a:off x="24597" y="849"/>
                            <a:ext cx="28137" cy="1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A1" w:rsidRDefault="00D37EA1" w:rsidP="005430A2">
                              <w:r>
                                <w:rPr>
                                  <w:rFonts w:ascii="Calibri" w:eastAsia="Calibri" w:hAnsi="Calibri" w:cs="Calibri"/>
                                  <w:b/>
                                  <w:color w:val="FFFFFF"/>
                                  <w:sz w:val="16"/>
                                </w:rPr>
                                <w:t xml:space="preserve"> Human Ethics Advisory Group, Faculty of Health,  </w:t>
                              </w:r>
                            </w:p>
                          </w:txbxContent>
                        </wps:txbx>
                        <wps:bodyPr rot="0" vert="horz" wrap="square" lIns="0" tIns="0" rIns="0" bIns="0" anchor="t" anchorCtr="0" upright="1">
                          <a:noAutofit/>
                        </wps:bodyPr>
                      </wps:wsp>
                      <wps:wsp>
                        <wps:cNvPr id="5" name="Rectangle 150"/>
                        <wps:cNvSpPr>
                          <a:spLocks noChangeArrowheads="1"/>
                        </wps:cNvSpPr>
                        <wps:spPr bwMode="auto">
                          <a:xfrm>
                            <a:off x="19461" y="2099"/>
                            <a:ext cx="41493" cy="1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A1" w:rsidRDefault="00D37EA1" w:rsidP="005430A2">
                              <w:r>
                                <w:rPr>
                                  <w:rFonts w:ascii="Calibri" w:eastAsia="Calibri" w:hAnsi="Calibri" w:cs="Calibri"/>
                                  <w:b/>
                                  <w:color w:val="FFFFFF"/>
                                  <w:sz w:val="16"/>
                                </w:rPr>
                                <w:t xml:space="preserve">Melbourne Burwood Campus, 221 Burwood Highway, Burwood, VIC 3125 </w:t>
                              </w:r>
                            </w:p>
                          </w:txbxContent>
                        </wps:txbx>
                        <wps:bodyPr rot="0" vert="horz" wrap="square" lIns="0" tIns="0" rIns="0" bIns="0" anchor="t" anchorCtr="0" upright="1">
                          <a:noAutofit/>
                        </wps:bodyPr>
                      </wps:wsp>
                      <wps:wsp>
                        <wps:cNvPr id="6" name="Rectangle 152"/>
                        <wps:cNvSpPr>
                          <a:spLocks noChangeArrowheads="1"/>
                        </wps:cNvSpPr>
                        <wps:spPr bwMode="auto">
                          <a:xfrm>
                            <a:off x="19002" y="3333"/>
                            <a:ext cx="42713" cy="1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A1" w:rsidRDefault="00D37EA1" w:rsidP="005430A2">
                              <w:r>
                                <w:rPr>
                                  <w:rFonts w:ascii="Calibri" w:eastAsia="Calibri" w:hAnsi="Calibri" w:cs="Calibri"/>
                                  <w:b/>
                                  <w:color w:val="FFFFFF"/>
                                  <w:sz w:val="16"/>
                                </w:rPr>
                                <w:t xml:space="preserve">Tel 03 9251 7174,  email health-ethics@deakin.edu.au  www.deakin.edu.au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6" o:spid="_x0000_s1073" style="position:absolute;left:0;text-align:left;margin-left:-8.75pt;margin-top:-26.25pt;width:557.65pt;height:39.7pt;z-index:251659264;mso-position-horizontal-relative:text;mso-position-vertical-relative:text" coordsize="70820,50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">
                <v:shape id="Picture 13" o:spid="_x0000_s1074" type="#_x0000_t75" style="position:absolute;width:70820;height:50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bXOPDAAAA2gAAAA8AAABkcnMvZG93bnJldi54bWxEj09rwkAUxO8Fv8PyBG91YwUr0VVsoehB&#10;63/w+Mg+k5js25BdNX57t1DwOMzMb5jxtDGluFHtcssKet0IBHFidc6pgsP+530IwnlkjaVlUvAg&#10;B9NJ622MsbZ33tJt51MRIOxiVJB5X8VSuiQjg65rK+LgnW1t0AdZp1LXeA9wU8qPKBpIgzmHhQwr&#10;+s4oKXZXo6DYLw+Xzef8tNoei0Ke18nvV+6U6rSb2QiEp8a/wv/thVbQh78r4QbIy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Jtc48MAAADaAAAADwAAAAAAAAAAAAAAAACf&#10;AgAAZHJzL2Rvd25yZXYueG1sUEsFBgAAAAAEAAQA9wAAAI8DAAAAAA==&#10;">
                  <v:imagedata r:id="rId18" o:title=""/>
                </v:shape>
                <v:rect id="Rectangle 148" o:spid="_x0000_s1075" style="position:absolute;left:24597;top:849;width:28137;height:1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rsidR="00D37EA1" w:rsidRDefault="00D37EA1" w:rsidP="005430A2">
                        <w:r>
                          <w:rPr>
                            <w:rFonts w:ascii="Calibri" w:eastAsia="Calibri" w:hAnsi="Calibri" w:cs="Calibri"/>
                            <w:b/>
                            <w:color w:val="FFFFFF"/>
                            <w:sz w:val="16"/>
                          </w:rPr>
                          <w:t xml:space="preserve"> Human Ethics Advisory Group, Faculty of Health,  </w:t>
                        </w:r>
                      </w:p>
                    </w:txbxContent>
                  </v:textbox>
                </v:rect>
                <v:rect id="Rectangle 150" o:spid="_x0000_s1076" style="position:absolute;left:19461;top:2099;width:41493;height:1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rsidR="00D37EA1" w:rsidRDefault="00D37EA1" w:rsidP="005430A2">
                        <w:r>
                          <w:rPr>
                            <w:rFonts w:ascii="Calibri" w:eastAsia="Calibri" w:hAnsi="Calibri" w:cs="Calibri"/>
                            <w:b/>
                            <w:color w:val="FFFFFF"/>
                            <w:sz w:val="16"/>
                          </w:rPr>
                          <w:t xml:space="preserve">Melbourne Burwood Campus, 221 Burwood Highway, Burwood, VIC 3125 </w:t>
                        </w:r>
                      </w:p>
                    </w:txbxContent>
                  </v:textbox>
                </v:rect>
                <v:rect id="Rectangle 152" o:spid="_x0000_s1077" style="position:absolute;left:19002;top:3333;width:42713;height:1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rsidR="00D37EA1" w:rsidRDefault="00D37EA1" w:rsidP="005430A2">
                        <w:r>
                          <w:rPr>
                            <w:rFonts w:ascii="Calibri" w:eastAsia="Calibri" w:hAnsi="Calibri" w:cs="Calibri"/>
                            <w:b/>
                            <w:color w:val="FFFFFF"/>
                            <w:sz w:val="16"/>
                          </w:rPr>
                          <w:t xml:space="preserve">Tel 03 9251 7174,  email health-ethics@deakin.edu.au  www.deakin.edu.au </w:t>
                        </w:r>
                      </w:p>
                    </w:txbxContent>
                  </v:textbox>
                </v:rect>
                <w10:wrap type="square"/>
              </v:group>
            </w:pict>
          </mc:Fallback>
        </mc:AlternateContent>
      </w:r>
    </w:p>
    <w:p w:rsidR="005430A2" w:rsidRPr="005B34FF" w:rsidRDefault="005430A2" w:rsidP="005430A2">
      <w:pPr>
        <w:spacing w:after="11"/>
        <w:ind w:left="751"/>
        <w:rPr>
          <w:rFonts w:ascii="Times New Roman" w:hAnsi="Times New Roman" w:cs="Times New Roman"/>
        </w:rPr>
      </w:pPr>
      <w:r w:rsidRPr="005B34FF">
        <w:rPr>
          <w:rFonts w:ascii="Times New Roman" w:hAnsi="Times New Roman" w:cs="Times New Roman"/>
          <w:noProof/>
          <w:lang w:val="en-AU" w:eastAsia="en-AU"/>
        </w:rPr>
        <w:drawing>
          <wp:inline distT="0" distB="0" distL="0" distR="0">
            <wp:extent cx="1144986" cy="723910"/>
            <wp:effectExtent l="0" t="0" r="0" b="0"/>
            <wp:docPr id="177" name="Picture 177"/>
            <wp:cNvGraphicFramePr/>
            <a:graphic xmlns:a="http://schemas.openxmlformats.org/drawingml/2006/main">
              <a:graphicData uri="http://schemas.openxmlformats.org/drawingml/2006/picture">
                <pic:pic xmlns:pic="http://schemas.openxmlformats.org/drawingml/2006/picture">
                  <pic:nvPicPr>
                    <pic:cNvPr id="177" name="Picture 177"/>
                    <pic:cNvPicPr/>
                  </pic:nvPicPr>
                  <pic:blipFill>
                    <a:blip r:embed="rId19"/>
                    <a:stretch>
                      <a:fillRect/>
                    </a:stretch>
                  </pic:blipFill>
                  <pic:spPr>
                    <a:xfrm>
                      <a:off x="0" y="0"/>
                      <a:ext cx="1144986" cy="723910"/>
                    </a:xfrm>
                    <a:prstGeom prst="rect">
                      <a:avLst/>
                    </a:prstGeom>
                  </pic:spPr>
                </pic:pic>
              </a:graphicData>
            </a:graphic>
          </wp:inline>
        </w:drawing>
      </w:r>
      <w:r w:rsidRPr="005B34FF">
        <w:rPr>
          <w:rFonts w:ascii="Times New Roman" w:hAnsi="Times New Roman" w:cs="Times New Roman"/>
        </w:rPr>
        <w:t xml:space="preserve"> </w:t>
      </w:r>
    </w:p>
    <w:p w:rsidR="005430A2" w:rsidRDefault="005430A2" w:rsidP="005430A2">
      <w:pPr>
        <w:ind w:left="720"/>
        <w:rPr>
          <w:rFonts w:ascii="Times New Roman" w:hAnsi="Times New Roman" w:cs="Times New Roman"/>
        </w:rPr>
      </w:pPr>
    </w:p>
    <w:p w:rsidR="005430A2" w:rsidRDefault="005430A2" w:rsidP="005430A2">
      <w:pPr>
        <w:ind w:left="720"/>
        <w:rPr>
          <w:rFonts w:ascii="Times New Roman" w:hAnsi="Times New Roman" w:cs="Times New Roman"/>
        </w:rPr>
      </w:pPr>
      <w:r>
        <w:rPr>
          <w:rFonts w:ascii="Times New Roman" w:hAnsi="Times New Roman" w:cs="Times New Roman"/>
        </w:rPr>
        <w:t>Steven Sawyer</w:t>
      </w:r>
    </w:p>
    <w:p w:rsidR="005430A2" w:rsidRDefault="005430A2" w:rsidP="005430A2">
      <w:pPr>
        <w:ind w:left="720"/>
        <w:rPr>
          <w:rFonts w:ascii="Times New Roman" w:hAnsi="Times New Roman" w:cs="Times New Roman"/>
        </w:rPr>
      </w:pPr>
    </w:p>
    <w:p w:rsidR="005430A2" w:rsidRDefault="005430A2" w:rsidP="005430A2">
      <w:pPr>
        <w:ind w:left="720"/>
        <w:rPr>
          <w:rFonts w:ascii="Times New Roman" w:hAnsi="Times New Roman" w:cs="Times New Roman"/>
          <w:b/>
          <w:u w:val="single"/>
        </w:rPr>
      </w:pPr>
      <w:r>
        <w:rPr>
          <w:rFonts w:ascii="Times New Roman" w:hAnsi="Times New Roman" w:cs="Times New Roman"/>
          <w:b/>
          <w:u w:val="single"/>
        </w:rPr>
        <w:t>Secretary</w:t>
      </w:r>
    </w:p>
    <w:p w:rsidR="005430A2" w:rsidRPr="00CC3E8A" w:rsidRDefault="005430A2" w:rsidP="005430A2">
      <w:pPr>
        <w:ind w:left="720"/>
        <w:rPr>
          <w:rFonts w:ascii="Times New Roman" w:hAnsi="Times New Roman" w:cs="Times New Roman"/>
        </w:rPr>
      </w:pPr>
      <w:r>
        <w:rPr>
          <w:rFonts w:ascii="Times New Roman" w:hAnsi="Times New Roman" w:cs="Times New Roman"/>
        </w:rPr>
        <w:t>HEAG-H</w:t>
      </w:r>
    </w:p>
    <w:p w:rsidR="005430A2" w:rsidRPr="005B34FF" w:rsidRDefault="005430A2" w:rsidP="005430A2">
      <w:pPr>
        <w:ind w:left="720"/>
        <w:rPr>
          <w:rFonts w:ascii="Times New Roman" w:hAnsi="Times New Roman" w:cs="Times New Roman"/>
        </w:rPr>
      </w:pPr>
      <w:r w:rsidRPr="005B34FF">
        <w:rPr>
          <w:rFonts w:ascii="Times New Roman" w:hAnsi="Times New Roman" w:cs="Times New Roman"/>
        </w:rPr>
        <w:t xml:space="preserve"> </w:t>
      </w:r>
    </w:p>
    <w:p w:rsidR="005430A2" w:rsidRPr="005B34FF" w:rsidRDefault="005430A2" w:rsidP="005430A2">
      <w:pPr>
        <w:spacing w:after="8042"/>
        <w:ind w:left="2160"/>
        <w:rPr>
          <w:rFonts w:ascii="Times New Roman" w:hAnsi="Times New Roman" w:cs="Times New Roman"/>
        </w:rPr>
      </w:pPr>
      <w:r w:rsidRPr="005B34FF">
        <w:rPr>
          <w:rFonts w:ascii="Times New Roman" w:hAnsi="Times New Roman" w:cs="Times New Roman"/>
        </w:rPr>
        <w:t xml:space="preserve"> </w:t>
      </w:r>
    </w:p>
    <w:p w:rsidR="005430A2" w:rsidRDefault="005430A2" w:rsidP="005430A2">
      <w:pPr>
        <w:spacing w:after="451"/>
        <w:rPr>
          <w:rFonts w:ascii="Times New Roman" w:hAnsi="Times New Roman" w:cs="Times New Roman"/>
        </w:rPr>
      </w:pPr>
      <w:r w:rsidRPr="005B34FF">
        <w:rPr>
          <w:rFonts w:ascii="Times New Roman" w:hAnsi="Times New Roman" w:cs="Times New Roman"/>
        </w:rPr>
        <w:t xml:space="preserve"> </w:t>
      </w:r>
      <w:r>
        <w:rPr>
          <w:rFonts w:ascii="Times New Roman" w:hAnsi="Times New Roman" w:cs="Times New Roman"/>
        </w:rPr>
        <w:br w:type="page"/>
      </w:r>
    </w:p>
    <w:p w:rsidR="005430A2" w:rsidRDefault="005430A2" w:rsidP="005430A2">
      <w:pPr>
        <w:spacing w:line="360" w:lineRule="auto"/>
        <w:ind w:left="709" w:hanging="709"/>
        <w:jc w:val="center"/>
        <w:rPr>
          <w:rFonts w:ascii="Times New Roman" w:hAnsi="Times New Roman" w:cs="Times New Roman"/>
        </w:rPr>
      </w:pPr>
      <w:r>
        <w:rPr>
          <w:rFonts w:ascii="Times New Roman" w:hAnsi="Times New Roman" w:cs="Times New Roman"/>
        </w:rPr>
        <w:t>APPENDIX B: PLAIN LANGUAGE STATEMENT</w:t>
      </w:r>
    </w:p>
    <w:p w:rsidR="005430A2" w:rsidRPr="00D77079" w:rsidRDefault="005430A2" w:rsidP="005430A2">
      <w:pPr>
        <w:pStyle w:val="Header"/>
        <w:rPr>
          <w:rFonts w:ascii="Times New Roman" w:hAnsi="Times New Roman" w:cs="Times New Roman"/>
          <w:b/>
          <w:sz w:val="28"/>
          <w:szCs w:val="28"/>
        </w:rPr>
      </w:pPr>
      <w:r w:rsidRPr="00D77079">
        <w:rPr>
          <w:rFonts w:ascii="Times New Roman" w:hAnsi="Times New Roman" w:cs="Times New Roman"/>
          <w:b/>
          <w:sz w:val="28"/>
          <w:szCs w:val="28"/>
        </w:rPr>
        <w:t>PLAIN LANGUAGE STATEMENT AND CONSENT FORM</w:t>
      </w:r>
    </w:p>
    <w:p w:rsidR="005430A2" w:rsidRPr="00D77079" w:rsidRDefault="005430A2" w:rsidP="005430A2">
      <w:pPr>
        <w:pStyle w:val="Header"/>
        <w:rPr>
          <w:rFonts w:ascii="Times New Roman" w:hAnsi="Times New Roman" w:cs="Times New Roman"/>
          <w:b/>
        </w:rPr>
      </w:pPr>
    </w:p>
    <w:p w:rsidR="005430A2" w:rsidRPr="00D77079" w:rsidRDefault="005430A2" w:rsidP="005430A2">
      <w:pPr>
        <w:pStyle w:val="StyleAppbodyDHSArial10ptBoldItalic"/>
        <w:spacing w:line="240" w:lineRule="auto"/>
        <w:rPr>
          <w:rFonts w:ascii="Times New Roman" w:hAnsi="Times New Roman"/>
          <w:i w:val="0"/>
          <w:sz w:val="24"/>
          <w:szCs w:val="24"/>
        </w:rPr>
      </w:pPr>
      <w:r w:rsidRPr="00D77079">
        <w:rPr>
          <w:rFonts w:ascii="Times New Roman" w:hAnsi="Times New Roman"/>
          <w:bCs w:val="0"/>
          <w:i w:val="0"/>
          <w:iCs w:val="0"/>
          <w:color w:val="auto"/>
          <w:sz w:val="24"/>
          <w:szCs w:val="24"/>
        </w:rPr>
        <w:t>TO</w:t>
      </w:r>
      <w:r w:rsidRPr="00D77079">
        <w:rPr>
          <w:rFonts w:ascii="Times New Roman" w:hAnsi="Times New Roman"/>
          <w:bCs w:val="0"/>
          <w:i w:val="0"/>
          <w:iCs w:val="0"/>
          <w:color w:val="4F81BD"/>
          <w:sz w:val="24"/>
          <w:szCs w:val="24"/>
        </w:rPr>
        <w:t>:</w:t>
      </w:r>
      <w:r w:rsidRPr="00D77079">
        <w:rPr>
          <w:rFonts w:ascii="Times New Roman" w:hAnsi="Times New Roman"/>
          <w:b w:val="0"/>
          <w:color w:val="4F81BD"/>
          <w:sz w:val="24"/>
          <w:szCs w:val="24"/>
        </w:rPr>
        <w:t xml:space="preserve">  </w:t>
      </w:r>
      <w:r w:rsidRPr="00CE255F">
        <w:rPr>
          <w:rFonts w:ascii="Times New Roman" w:hAnsi="Times New Roman"/>
          <w:i w:val="0"/>
          <w:color w:val="auto"/>
          <w:sz w:val="24"/>
          <w:szCs w:val="24"/>
        </w:rPr>
        <w:t>Participants</w:t>
      </w:r>
    </w:p>
    <w:p w:rsidR="005430A2" w:rsidRPr="00D77079" w:rsidRDefault="005430A2" w:rsidP="005430A2">
      <w:pPr>
        <w:pStyle w:val="BodyDHS"/>
        <w:spacing w:after="0"/>
        <w:rPr>
          <w:rFonts w:ascii="Times New Roman" w:hAnsi="Times New Roman"/>
          <w:sz w:val="24"/>
          <w:szCs w:val="24"/>
        </w:rPr>
      </w:pPr>
    </w:p>
    <w:p w:rsidR="005430A2" w:rsidRPr="00D77079" w:rsidRDefault="005430A2" w:rsidP="005430A2">
      <w:pPr>
        <w:pStyle w:val="AppbodyDHS"/>
        <w:pBdr>
          <w:top w:val="single" w:sz="6" w:space="1" w:color="auto"/>
          <w:left w:val="single" w:sz="6" w:space="1" w:color="auto"/>
          <w:bottom w:val="single" w:sz="6" w:space="1" w:color="auto"/>
          <w:right w:val="single" w:sz="6" w:space="0" w:color="auto"/>
        </w:pBdr>
        <w:jc w:val="center"/>
        <w:rPr>
          <w:rFonts w:ascii="Times New Roman" w:hAnsi="Times New Roman"/>
          <w:b/>
          <w:sz w:val="24"/>
          <w:szCs w:val="24"/>
        </w:rPr>
      </w:pPr>
      <w:r w:rsidRPr="00D77079">
        <w:rPr>
          <w:rFonts w:ascii="Times New Roman" w:hAnsi="Times New Roman"/>
          <w:b/>
          <w:sz w:val="24"/>
          <w:szCs w:val="24"/>
        </w:rPr>
        <w:t xml:space="preserve">Plain Language Statement </w:t>
      </w:r>
    </w:p>
    <w:p w:rsidR="005430A2" w:rsidRPr="00D77079" w:rsidRDefault="005430A2" w:rsidP="005430A2">
      <w:pPr>
        <w:pStyle w:val="HeadingCDHS"/>
        <w:rPr>
          <w:rFonts w:ascii="Times New Roman" w:hAnsi="Times New Roman"/>
          <w:szCs w:val="24"/>
        </w:rPr>
      </w:pPr>
      <w:r w:rsidRPr="00D77079">
        <w:rPr>
          <w:rFonts w:ascii="Times New Roman" w:hAnsi="Times New Roman"/>
          <w:szCs w:val="24"/>
        </w:rPr>
        <w:t xml:space="preserve">Date: </w:t>
      </w:r>
      <w:r w:rsidRPr="00D77079">
        <w:rPr>
          <w:rFonts w:ascii="Times New Roman" w:hAnsi="Times New Roman"/>
          <w:b w:val="0"/>
          <w:szCs w:val="24"/>
        </w:rPr>
        <w:t>31</w:t>
      </w:r>
      <w:r w:rsidRPr="00D77079">
        <w:rPr>
          <w:rFonts w:ascii="Times New Roman" w:hAnsi="Times New Roman"/>
          <w:b w:val="0"/>
          <w:szCs w:val="24"/>
          <w:vertAlign w:val="superscript"/>
        </w:rPr>
        <w:t>st</w:t>
      </w:r>
      <w:r w:rsidRPr="00D77079">
        <w:rPr>
          <w:rFonts w:ascii="Times New Roman" w:hAnsi="Times New Roman"/>
          <w:b w:val="0"/>
          <w:szCs w:val="24"/>
        </w:rPr>
        <w:t xml:space="preserve"> March 2014</w:t>
      </w:r>
    </w:p>
    <w:p w:rsidR="005430A2" w:rsidRPr="00D77079" w:rsidRDefault="005430A2" w:rsidP="005430A2">
      <w:pPr>
        <w:pStyle w:val="HeadingCDHS"/>
        <w:spacing w:before="120" w:after="120"/>
        <w:rPr>
          <w:rFonts w:ascii="Times New Roman" w:hAnsi="Times New Roman"/>
          <w:szCs w:val="24"/>
        </w:rPr>
      </w:pPr>
      <w:r w:rsidRPr="00D77079">
        <w:rPr>
          <w:rFonts w:ascii="Times New Roman" w:hAnsi="Times New Roman"/>
          <w:szCs w:val="24"/>
        </w:rPr>
        <w:t xml:space="preserve">Full Project Title:  </w:t>
      </w:r>
      <w:r w:rsidRPr="00D77079">
        <w:rPr>
          <w:rFonts w:ascii="Times New Roman" w:hAnsi="Times New Roman"/>
          <w:b w:val="0"/>
          <w:szCs w:val="24"/>
        </w:rPr>
        <w:t>An investigation of the psychometric properties of the Personal Wellbeing Index</w:t>
      </w:r>
    </w:p>
    <w:p w:rsidR="005430A2" w:rsidRPr="00D77079" w:rsidRDefault="005430A2" w:rsidP="005430A2">
      <w:pPr>
        <w:pStyle w:val="AppbodyDHS"/>
        <w:spacing w:before="120" w:after="120"/>
        <w:rPr>
          <w:rFonts w:ascii="Times New Roman" w:hAnsi="Times New Roman"/>
          <w:b/>
          <w:sz w:val="24"/>
          <w:szCs w:val="24"/>
        </w:rPr>
      </w:pPr>
      <w:r w:rsidRPr="00D77079">
        <w:rPr>
          <w:rFonts w:ascii="Times New Roman" w:hAnsi="Times New Roman"/>
          <w:b/>
          <w:sz w:val="24"/>
          <w:szCs w:val="24"/>
        </w:rPr>
        <w:t xml:space="preserve">Principal Researcher: </w:t>
      </w:r>
      <w:r w:rsidRPr="00D77079">
        <w:rPr>
          <w:rFonts w:ascii="Times New Roman" w:hAnsi="Times New Roman"/>
          <w:sz w:val="24"/>
          <w:szCs w:val="24"/>
        </w:rPr>
        <w:t>Dr Melissa Weinberg</w:t>
      </w:r>
    </w:p>
    <w:p w:rsidR="005430A2" w:rsidRPr="00B9465F" w:rsidRDefault="005430A2" w:rsidP="005430A2">
      <w:pPr>
        <w:pBdr>
          <w:top w:val="single" w:sz="6" w:space="0" w:color="auto"/>
        </w:pBdr>
        <w:rPr>
          <w:rFonts w:ascii="Times New Roman" w:hAnsi="Times New Roman" w:cs="Times New Roman"/>
        </w:rPr>
      </w:pPr>
    </w:p>
    <w:p w:rsidR="005430A2" w:rsidRPr="00B9465F" w:rsidRDefault="005430A2" w:rsidP="005430A2">
      <w:pPr>
        <w:spacing w:before="120" w:after="120" w:line="276" w:lineRule="auto"/>
        <w:rPr>
          <w:rFonts w:ascii="Times New Roman" w:hAnsi="Times New Roman" w:cs="Times New Roman"/>
          <w:b/>
        </w:rPr>
      </w:pPr>
      <w:r w:rsidRPr="00B9465F">
        <w:rPr>
          <w:rFonts w:ascii="Times New Roman" w:hAnsi="Times New Roman" w:cs="Times New Roman"/>
          <w:b/>
        </w:rPr>
        <w:t xml:space="preserve">Dear Participant, </w:t>
      </w:r>
    </w:p>
    <w:p w:rsidR="005430A2" w:rsidRPr="00D77079" w:rsidRDefault="005430A2" w:rsidP="005430A2">
      <w:pPr>
        <w:pStyle w:val="Default"/>
        <w:ind w:firstLine="720"/>
      </w:pPr>
      <w:r w:rsidRPr="00D77079">
        <w:t>Thank you for your interest in this research project. The aim of this study is to explore the statistical and psychometric properties of the Personal Wellbeing Index, a widely used tool to measure subjective wellbeing.</w:t>
      </w:r>
    </w:p>
    <w:p w:rsidR="005430A2" w:rsidRPr="00D77079" w:rsidRDefault="005430A2" w:rsidP="005430A2">
      <w:pPr>
        <w:pStyle w:val="Default"/>
        <w:ind w:firstLine="720"/>
      </w:pPr>
      <w:r w:rsidRPr="00D77079">
        <w:t xml:space="preserve">This research is being undertaken by two Honours in Psychology students as a requirement of their fourth year studies. It follows the work of the Australian Centre on Quality of Life at Deakin University, and adds to the existing research collected over the past 13 years as part of the Australian Unity Wellbeing Index. Funding for this study is supplied by Deakin University. </w:t>
      </w:r>
    </w:p>
    <w:p w:rsidR="005430A2" w:rsidRPr="00D77079" w:rsidRDefault="005430A2" w:rsidP="005430A2">
      <w:pPr>
        <w:pStyle w:val="Default"/>
      </w:pPr>
      <w:r w:rsidRPr="00D77079">
        <w:t xml:space="preserve">If you agree to participate, you will be asked to complete a short online questionnaire about your well-being. This should take you no more than 5 minutes to complete. The questions will ask you about general aspects of your life, including your satisfaction with different areas of life. It is not anticipated that you should experience any discomfort, however if you do feel distressed, you should call Lifeline on 131114. </w:t>
      </w:r>
    </w:p>
    <w:p w:rsidR="005430A2" w:rsidRPr="00B9465F" w:rsidRDefault="005430A2" w:rsidP="005430A2">
      <w:pPr>
        <w:pStyle w:val="Default"/>
        <w:ind w:firstLine="720"/>
        <w:rPr>
          <w:color w:val="auto"/>
        </w:rPr>
      </w:pPr>
      <w:r w:rsidRPr="00D77079">
        <w:t xml:space="preserve">Your anonymity is guaranteed at all times and you will not be asked for your name or any other information that could be used to identify you. Should you wish to withdraw from the project you may do so at any time without repercussion, prior to submitting your questionnaire. Since the responses are anonymous, it will be impossible to withdraw your responses after they have been submitted. The results of this study will be reported in the form of student theses and may also be </w:t>
      </w:r>
      <w:r w:rsidRPr="00B9465F">
        <w:rPr>
          <w:color w:val="auto"/>
        </w:rPr>
        <w:t>published in peer-reviewed journals.</w:t>
      </w:r>
    </w:p>
    <w:p w:rsidR="005430A2" w:rsidRPr="00B9465F" w:rsidRDefault="005430A2" w:rsidP="005430A2">
      <w:pPr>
        <w:pStyle w:val="Default"/>
        <w:ind w:firstLine="720"/>
        <w:rPr>
          <w:color w:val="auto"/>
        </w:rPr>
      </w:pPr>
      <w:r w:rsidRPr="00B9465F">
        <w:rPr>
          <w:color w:val="auto"/>
        </w:rPr>
        <w:t xml:space="preserve">By completing and submitting the questionnaire you are consenting to participate in this study. The ethical aspects of this study have been approved by a human ethics panel at Deakin University. </w:t>
      </w:r>
    </w:p>
    <w:p w:rsidR="005430A2" w:rsidRPr="00B9465F" w:rsidRDefault="005430A2" w:rsidP="005430A2">
      <w:pPr>
        <w:pStyle w:val="Default"/>
        <w:ind w:firstLine="720"/>
        <w:rPr>
          <w:color w:val="auto"/>
        </w:rPr>
      </w:pPr>
      <w:r w:rsidRPr="00B9465F">
        <w:rPr>
          <w:color w:val="auto"/>
        </w:rPr>
        <w:t xml:space="preserve">If you have any complaints about any aspect of this project, the way it is being conducted or any questions about your rights as a research participant, then you may contact: The Manager, Research Integrity, Deakin University, 221 Burwood Highway, Burwood Victoria 3125, Telephone: 92517129, research-ethics@deakin.edu.au. Please quote project Number [HEAG-H 64_2014] </w:t>
      </w:r>
    </w:p>
    <w:p w:rsidR="005430A2" w:rsidRPr="00B9465F" w:rsidRDefault="005430A2" w:rsidP="005430A2">
      <w:pPr>
        <w:pStyle w:val="Default"/>
        <w:ind w:firstLine="720"/>
        <w:rPr>
          <w:color w:val="auto"/>
        </w:rPr>
      </w:pPr>
      <w:r w:rsidRPr="00B9465F">
        <w:rPr>
          <w:color w:val="auto"/>
        </w:rPr>
        <w:t xml:space="preserve">For further information about this project, please feel free to contact Dr Melissa Weinberg at Deakin University: melissa.weinberg@deakin.edu.au. </w:t>
      </w:r>
    </w:p>
    <w:p w:rsidR="005430A2" w:rsidRPr="00B9465F" w:rsidRDefault="005430A2" w:rsidP="005430A2">
      <w:pPr>
        <w:spacing w:before="120" w:after="120" w:line="276" w:lineRule="auto"/>
        <w:ind w:firstLine="720"/>
        <w:rPr>
          <w:rFonts w:ascii="Times New Roman" w:hAnsi="Times New Roman" w:cs="Times New Roman"/>
          <w:b/>
        </w:rPr>
      </w:pPr>
      <w:r w:rsidRPr="00B9465F">
        <w:rPr>
          <w:rFonts w:ascii="Times New Roman" w:hAnsi="Times New Roman" w:cs="Times New Roman"/>
        </w:rPr>
        <w:t>Thank you for your involvement in our study.</w:t>
      </w:r>
    </w:p>
    <w:p w:rsidR="005430A2" w:rsidRPr="00B9465F" w:rsidRDefault="005430A2" w:rsidP="005430A2">
      <w:pPr>
        <w:rPr>
          <w:rFonts w:ascii="Times New Roman" w:hAnsi="Times New Roman" w:cs="Times New Roman"/>
        </w:rPr>
      </w:pPr>
      <w:r w:rsidRPr="00B9465F">
        <w:rPr>
          <w:rFonts w:ascii="Times New Roman" w:hAnsi="Times New Roman" w:cs="Times New Roman"/>
        </w:rPr>
        <w:br w:type="page"/>
      </w:r>
    </w:p>
    <w:p w:rsidR="005430A2" w:rsidRDefault="005430A2" w:rsidP="005430A2">
      <w:pPr>
        <w:spacing w:line="360" w:lineRule="auto"/>
        <w:ind w:left="709" w:hanging="709"/>
        <w:jc w:val="center"/>
        <w:rPr>
          <w:rFonts w:ascii="Times New Roman" w:hAnsi="Times New Roman" w:cs="Times New Roman"/>
        </w:rPr>
      </w:pPr>
      <w:r>
        <w:rPr>
          <w:rFonts w:ascii="Times New Roman" w:hAnsi="Times New Roman" w:cs="Times New Roman"/>
        </w:rPr>
        <w:t>APPENDIX C: MEASURE OF SUBJECTIVE WELLBEING</w:t>
      </w:r>
    </w:p>
    <w:p w:rsidR="005430A2" w:rsidRDefault="005430A2" w:rsidP="005430A2">
      <w:pPr>
        <w:spacing w:line="360" w:lineRule="auto"/>
        <w:ind w:left="709" w:hanging="709"/>
        <w:rPr>
          <w:rFonts w:ascii="Times New Roman" w:hAnsi="Times New Roman" w:cs="Times New Roman"/>
          <w:b/>
        </w:rPr>
      </w:pPr>
      <w:r>
        <w:rPr>
          <w:rFonts w:ascii="Times New Roman" w:hAnsi="Times New Roman" w:cs="Times New Roman"/>
          <w:b/>
        </w:rPr>
        <w:t>Personal Wellbeing Index (PWI) items</w:t>
      </w:r>
    </w:p>
    <w:p w:rsidR="005430A2" w:rsidRDefault="005430A2" w:rsidP="005430A2">
      <w:pPr>
        <w:pStyle w:val="ListParagraph"/>
        <w:numPr>
          <w:ilvl w:val="0"/>
          <w:numId w:val="36"/>
        </w:numPr>
        <w:spacing w:line="360" w:lineRule="auto"/>
        <w:rPr>
          <w:rFonts w:ascii="Times New Roman" w:hAnsi="Times New Roman" w:cs="Times New Roman"/>
          <w:sz w:val="24"/>
          <w:szCs w:val="24"/>
        </w:rPr>
      </w:pPr>
      <w:r>
        <w:rPr>
          <w:rFonts w:ascii="Times New Roman" w:hAnsi="Times New Roman" w:cs="Times New Roman"/>
          <w:sz w:val="24"/>
          <w:szCs w:val="24"/>
        </w:rPr>
        <w:t>How satisfied are you with your standard of living?</w:t>
      </w:r>
    </w:p>
    <w:p w:rsidR="005430A2" w:rsidRDefault="005430A2" w:rsidP="005430A2">
      <w:pPr>
        <w:pStyle w:val="ListParagraph"/>
        <w:numPr>
          <w:ilvl w:val="0"/>
          <w:numId w:val="36"/>
        </w:numPr>
        <w:spacing w:line="360" w:lineRule="auto"/>
        <w:rPr>
          <w:rFonts w:ascii="Times New Roman" w:hAnsi="Times New Roman" w:cs="Times New Roman"/>
          <w:sz w:val="24"/>
          <w:szCs w:val="24"/>
        </w:rPr>
      </w:pPr>
      <w:r>
        <w:rPr>
          <w:rFonts w:ascii="Times New Roman" w:hAnsi="Times New Roman" w:cs="Times New Roman"/>
          <w:sz w:val="24"/>
          <w:szCs w:val="24"/>
        </w:rPr>
        <w:t>How satisfied are you with your health?</w:t>
      </w:r>
    </w:p>
    <w:p w:rsidR="005430A2" w:rsidRDefault="005430A2" w:rsidP="005430A2">
      <w:pPr>
        <w:pStyle w:val="ListParagraph"/>
        <w:numPr>
          <w:ilvl w:val="0"/>
          <w:numId w:val="36"/>
        </w:numPr>
        <w:spacing w:line="360" w:lineRule="auto"/>
        <w:rPr>
          <w:rFonts w:ascii="Times New Roman" w:hAnsi="Times New Roman" w:cs="Times New Roman"/>
          <w:sz w:val="24"/>
          <w:szCs w:val="24"/>
        </w:rPr>
      </w:pPr>
      <w:r>
        <w:rPr>
          <w:rFonts w:ascii="Times New Roman" w:hAnsi="Times New Roman" w:cs="Times New Roman"/>
          <w:sz w:val="24"/>
          <w:szCs w:val="24"/>
        </w:rPr>
        <w:t>How satisfied are you with what you are currently achieving in life?</w:t>
      </w:r>
    </w:p>
    <w:p w:rsidR="005430A2" w:rsidRDefault="005430A2" w:rsidP="005430A2">
      <w:pPr>
        <w:pStyle w:val="ListParagraph"/>
        <w:numPr>
          <w:ilvl w:val="0"/>
          <w:numId w:val="36"/>
        </w:numPr>
        <w:spacing w:line="360" w:lineRule="auto"/>
        <w:rPr>
          <w:rFonts w:ascii="Times New Roman" w:hAnsi="Times New Roman" w:cs="Times New Roman"/>
          <w:sz w:val="24"/>
          <w:szCs w:val="24"/>
        </w:rPr>
      </w:pPr>
      <w:r>
        <w:rPr>
          <w:rFonts w:ascii="Times New Roman" w:hAnsi="Times New Roman" w:cs="Times New Roman"/>
          <w:sz w:val="24"/>
          <w:szCs w:val="24"/>
        </w:rPr>
        <w:t>How satisfied are you with your personal relationships?</w:t>
      </w:r>
    </w:p>
    <w:p w:rsidR="005430A2" w:rsidRDefault="005430A2" w:rsidP="005430A2">
      <w:pPr>
        <w:pStyle w:val="ListParagraph"/>
        <w:numPr>
          <w:ilvl w:val="0"/>
          <w:numId w:val="36"/>
        </w:numPr>
        <w:spacing w:line="360" w:lineRule="auto"/>
        <w:rPr>
          <w:rFonts w:ascii="Times New Roman" w:hAnsi="Times New Roman" w:cs="Times New Roman"/>
          <w:sz w:val="24"/>
          <w:szCs w:val="24"/>
        </w:rPr>
      </w:pPr>
      <w:r>
        <w:rPr>
          <w:rFonts w:ascii="Times New Roman" w:hAnsi="Times New Roman" w:cs="Times New Roman"/>
          <w:sz w:val="24"/>
          <w:szCs w:val="24"/>
        </w:rPr>
        <w:t>How satisfied are you with how safe you feel?</w:t>
      </w:r>
    </w:p>
    <w:p w:rsidR="005430A2" w:rsidRDefault="005430A2" w:rsidP="005430A2">
      <w:pPr>
        <w:pStyle w:val="ListParagraph"/>
        <w:numPr>
          <w:ilvl w:val="0"/>
          <w:numId w:val="36"/>
        </w:numPr>
        <w:spacing w:line="360" w:lineRule="auto"/>
        <w:rPr>
          <w:rFonts w:ascii="Times New Roman" w:hAnsi="Times New Roman" w:cs="Times New Roman"/>
          <w:sz w:val="24"/>
          <w:szCs w:val="24"/>
        </w:rPr>
      </w:pPr>
      <w:r>
        <w:rPr>
          <w:rFonts w:ascii="Times New Roman" w:hAnsi="Times New Roman" w:cs="Times New Roman"/>
          <w:sz w:val="24"/>
          <w:szCs w:val="24"/>
        </w:rPr>
        <w:t>How satisfied are you with feeling part of your community?</w:t>
      </w:r>
    </w:p>
    <w:p w:rsidR="005430A2" w:rsidRPr="000233A7" w:rsidRDefault="005430A2" w:rsidP="005430A2">
      <w:pPr>
        <w:pStyle w:val="ListParagraph"/>
        <w:numPr>
          <w:ilvl w:val="0"/>
          <w:numId w:val="36"/>
        </w:numPr>
        <w:spacing w:line="360" w:lineRule="auto"/>
        <w:rPr>
          <w:rFonts w:ascii="Times New Roman" w:hAnsi="Times New Roman" w:cs="Times New Roman"/>
          <w:sz w:val="24"/>
          <w:szCs w:val="24"/>
        </w:rPr>
      </w:pPr>
      <w:r>
        <w:rPr>
          <w:rFonts w:ascii="Times New Roman" w:hAnsi="Times New Roman" w:cs="Times New Roman"/>
          <w:sz w:val="24"/>
          <w:szCs w:val="24"/>
        </w:rPr>
        <w:t>How satisfied are you with your future security?</w:t>
      </w:r>
    </w:p>
    <w:p w:rsidR="005430A2" w:rsidRPr="006869FC" w:rsidRDefault="005430A2" w:rsidP="005430A2">
      <w:pPr>
        <w:spacing w:line="360" w:lineRule="auto"/>
        <w:rPr>
          <w:rFonts w:ascii="Times New Roman" w:hAnsi="Times New Roman" w:cs="Times New Roman"/>
          <w:b/>
        </w:rPr>
      </w:pPr>
      <w:r w:rsidRPr="006869FC">
        <w:rPr>
          <w:rFonts w:ascii="Times New Roman" w:hAnsi="Times New Roman" w:cs="Times New Roman"/>
          <w:b/>
        </w:rPr>
        <w:t>General Life Satisfaction</w:t>
      </w:r>
      <w:r>
        <w:rPr>
          <w:rFonts w:ascii="Times New Roman" w:hAnsi="Times New Roman" w:cs="Times New Roman"/>
          <w:b/>
        </w:rPr>
        <w:t xml:space="preserve"> (GLS)</w:t>
      </w:r>
      <w:r w:rsidRPr="006869FC">
        <w:rPr>
          <w:rFonts w:ascii="Times New Roman" w:hAnsi="Times New Roman" w:cs="Times New Roman"/>
          <w:b/>
        </w:rPr>
        <w:t xml:space="preserve"> item</w:t>
      </w:r>
    </w:p>
    <w:p w:rsidR="005430A2" w:rsidRPr="000233A7" w:rsidRDefault="005430A2" w:rsidP="005430A2">
      <w:pPr>
        <w:pStyle w:val="ListParagraph"/>
        <w:numPr>
          <w:ilvl w:val="0"/>
          <w:numId w:val="36"/>
        </w:numPr>
        <w:spacing w:line="360" w:lineRule="auto"/>
        <w:rPr>
          <w:rFonts w:ascii="Times New Roman" w:hAnsi="Times New Roman" w:cs="Times New Roman"/>
          <w:sz w:val="24"/>
          <w:szCs w:val="24"/>
        </w:rPr>
      </w:pPr>
      <w:r>
        <w:rPr>
          <w:rFonts w:ascii="Times New Roman" w:hAnsi="Times New Roman" w:cs="Times New Roman"/>
          <w:sz w:val="24"/>
          <w:szCs w:val="24"/>
        </w:rPr>
        <w:t>How satisfied are you with your life as a whole?</w:t>
      </w:r>
    </w:p>
    <w:p w:rsidR="005430A2" w:rsidRDefault="005430A2" w:rsidP="005430A2">
      <w:pPr>
        <w:spacing w:line="360" w:lineRule="auto"/>
        <w:rPr>
          <w:rFonts w:ascii="Times New Roman" w:hAnsi="Times New Roman" w:cs="Times New Roman"/>
          <w:b/>
        </w:rPr>
      </w:pPr>
      <w:r w:rsidRPr="000233A7">
        <w:rPr>
          <w:rFonts w:ascii="Times New Roman" w:hAnsi="Times New Roman" w:cs="Times New Roman"/>
          <w:b/>
        </w:rPr>
        <w:t>Scale used</w:t>
      </w:r>
      <w:r>
        <w:rPr>
          <w:rFonts w:ascii="Times New Roman" w:hAnsi="Times New Roman" w:cs="Times New Roman"/>
          <w:b/>
        </w:rPr>
        <w:t xml:space="preserve"> for each item</w:t>
      </w:r>
    </w:p>
    <w:p w:rsidR="005430A2" w:rsidRDefault="005430A2" w:rsidP="005430A2">
      <w:pPr>
        <w:spacing w:line="360" w:lineRule="auto"/>
        <w:rPr>
          <w:rFonts w:ascii="Times New Roman" w:hAnsi="Times New Roman" w:cs="Times New Roman"/>
        </w:rPr>
      </w:pPr>
      <w:r>
        <w:rPr>
          <w:rFonts w:ascii="Times New Roman" w:hAnsi="Times New Roman" w:cs="Times New Roman"/>
        </w:rPr>
        <w:t xml:space="preserve">Not at all satisfied </w:t>
      </w:r>
      <w:r>
        <w:rPr>
          <w:rFonts w:ascii="Times New Roman" w:hAnsi="Times New Roman" w:cs="Times New Roman"/>
          <w:color w:val="FF0000"/>
        </w:rPr>
        <w:tab/>
      </w:r>
      <w:r>
        <w:rPr>
          <w:rFonts w:ascii="Times New Roman" w:hAnsi="Times New Roman" w:cs="Times New Roman"/>
          <w:color w:val="FF0000"/>
        </w:rPr>
        <w:tab/>
      </w:r>
      <w:r w:rsidRPr="000233A7">
        <w:rPr>
          <w:rFonts w:ascii="Times New Roman" w:hAnsi="Times New Roman" w:cs="Times New Roman"/>
          <w:color w:val="FF0000"/>
        </w:rPr>
        <w:tab/>
      </w:r>
      <w:r w:rsidRPr="000233A7">
        <w:rPr>
          <w:rFonts w:ascii="Times New Roman" w:hAnsi="Times New Roman" w:cs="Times New Roman"/>
          <w:color w:val="FF0000"/>
        </w:rPr>
        <w:tab/>
      </w:r>
      <w:r>
        <w:rPr>
          <w:rFonts w:ascii="Times New Roman" w:hAnsi="Times New Roman" w:cs="Times New Roman"/>
        </w:rPr>
        <w:tab/>
      </w:r>
      <w:r>
        <w:rPr>
          <w:rFonts w:ascii="Times New Roman" w:hAnsi="Times New Roman" w:cs="Times New Roman"/>
        </w:rPr>
        <w:tab/>
        <w:t>Completely Satisfied</w:t>
      </w:r>
    </w:p>
    <w:p w:rsidR="005430A2" w:rsidRPr="000233A7" w:rsidRDefault="005430A2" w:rsidP="005430A2">
      <w:pPr>
        <w:spacing w:line="360" w:lineRule="auto"/>
        <w:rPr>
          <w:rFonts w:ascii="Times New Roman" w:hAnsi="Times New Roman" w:cs="Times New Roman"/>
        </w:rPr>
      </w:pPr>
      <w:r>
        <w:rPr>
          <w:rFonts w:ascii="Times New Roman" w:hAnsi="Times New Roman" w:cs="Times New Roman"/>
        </w:rPr>
        <w:t>0</w:t>
      </w:r>
      <w:r>
        <w:rPr>
          <w:rFonts w:ascii="Times New Roman" w:hAnsi="Times New Roman" w:cs="Times New Roman"/>
        </w:rPr>
        <w:tab/>
        <w:t>1</w:t>
      </w:r>
      <w:r>
        <w:rPr>
          <w:rFonts w:ascii="Times New Roman" w:hAnsi="Times New Roman" w:cs="Times New Roman"/>
        </w:rPr>
        <w:tab/>
        <w:t>2</w:t>
      </w:r>
      <w:r>
        <w:rPr>
          <w:rFonts w:ascii="Times New Roman" w:hAnsi="Times New Roman" w:cs="Times New Roman"/>
        </w:rPr>
        <w:tab/>
        <w:t>3</w:t>
      </w:r>
      <w:r>
        <w:rPr>
          <w:rFonts w:ascii="Times New Roman" w:hAnsi="Times New Roman" w:cs="Times New Roman"/>
        </w:rPr>
        <w:tab/>
        <w:t>4</w:t>
      </w:r>
      <w:r>
        <w:rPr>
          <w:rFonts w:ascii="Times New Roman" w:hAnsi="Times New Roman" w:cs="Times New Roman"/>
        </w:rPr>
        <w:tab/>
        <w:t>5</w:t>
      </w:r>
      <w:r>
        <w:rPr>
          <w:rFonts w:ascii="Times New Roman" w:hAnsi="Times New Roman" w:cs="Times New Roman"/>
        </w:rPr>
        <w:tab/>
        <w:t>6</w:t>
      </w:r>
      <w:r>
        <w:rPr>
          <w:rFonts w:ascii="Times New Roman" w:hAnsi="Times New Roman" w:cs="Times New Roman"/>
        </w:rPr>
        <w:tab/>
        <w:t>7</w:t>
      </w:r>
      <w:r>
        <w:rPr>
          <w:rFonts w:ascii="Times New Roman" w:hAnsi="Times New Roman" w:cs="Times New Roman"/>
        </w:rPr>
        <w:tab/>
        <w:t>8</w:t>
      </w:r>
      <w:r>
        <w:rPr>
          <w:rFonts w:ascii="Times New Roman" w:hAnsi="Times New Roman" w:cs="Times New Roman"/>
        </w:rPr>
        <w:tab/>
        <w:t>9</w:t>
      </w:r>
      <w:r>
        <w:rPr>
          <w:rFonts w:ascii="Times New Roman" w:hAnsi="Times New Roman" w:cs="Times New Roman"/>
        </w:rPr>
        <w:tab/>
        <w:t>10</w:t>
      </w:r>
    </w:p>
    <w:p w:rsidR="005430A2" w:rsidRDefault="005430A2" w:rsidP="005430A2">
      <w:pPr>
        <w:tabs>
          <w:tab w:val="left" w:pos="5103"/>
          <w:tab w:val="left" w:pos="5387"/>
          <w:tab w:val="left" w:pos="8931"/>
        </w:tabs>
        <w:ind w:right="-52"/>
      </w:pPr>
    </w:p>
    <w:sectPr w:rsidR="005430A2" w:rsidSect="008F75B4">
      <w:headerReference w:type="default" r:id="rId20"/>
      <w:pgSz w:w="11900" w:h="16820"/>
      <w:pgMar w:top="1440" w:right="1440" w:bottom="1440" w:left="1701" w:header="709" w:footer="709" w:gutter="0"/>
      <w:pgNumType w:start="1"/>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8A5" w:rsidRDefault="003C58A5" w:rsidP="00302791">
      <w:r>
        <w:separator/>
      </w:r>
    </w:p>
  </w:endnote>
  <w:endnote w:type="continuationSeparator" w:id="0">
    <w:p w:rsidR="003C58A5" w:rsidRDefault="003C58A5" w:rsidP="00302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Univers Condensed">
    <w:altName w:val="Cambri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TIXGeneral-Regular">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8A5" w:rsidRDefault="003C58A5" w:rsidP="00302791">
      <w:r>
        <w:separator/>
      </w:r>
    </w:p>
  </w:footnote>
  <w:footnote w:type="continuationSeparator" w:id="0">
    <w:p w:rsidR="003C58A5" w:rsidRDefault="003C58A5" w:rsidP="00302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EA1" w:rsidRDefault="008F75B4">
    <w:pPr>
      <w:pStyle w:val="Header"/>
      <w:jc w:val="right"/>
      <w:rPr>
        <w:sz w:val="20"/>
        <w:szCs w:val="20"/>
      </w:rPr>
    </w:pPr>
    <w:r>
      <w:rPr>
        <w:rStyle w:val="PageNumber"/>
        <w:rFonts w:cs="Times"/>
        <w:sz w:val="20"/>
        <w:szCs w:val="20"/>
      </w:rPr>
      <w:fldChar w:fldCharType="begin"/>
    </w:r>
    <w:r w:rsidR="00D37EA1">
      <w:rPr>
        <w:rStyle w:val="PageNumber"/>
        <w:rFonts w:cs="Times"/>
        <w:sz w:val="20"/>
        <w:szCs w:val="20"/>
      </w:rPr>
      <w:instrText xml:space="preserve"> PAGE </w:instrText>
    </w:r>
    <w:r>
      <w:rPr>
        <w:rStyle w:val="PageNumber"/>
        <w:rFonts w:cs="Times"/>
        <w:sz w:val="20"/>
        <w:szCs w:val="20"/>
      </w:rPr>
      <w:fldChar w:fldCharType="separate"/>
    </w:r>
    <w:r w:rsidR="00FF5EDE">
      <w:rPr>
        <w:rStyle w:val="PageNumber"/>
        <w:rFonts w:cs="Times"/>
        <w:noProof/>
        <w:sz w:val="20"/>
        <w:szCs w:val="20"/>
      </w:rPr>
      <w:t>12</w:t>
    </w:r>
    <w:r>
      <w:rPr>
        <w:rStyle w:val="PageNumber"/>
        <w:rFonts w:cs="Times"/>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rPr>
        <w:rFonts w:cs="Times New Roman"/>
      </w:rPr>
    </w:lvl>
  </w:abstractNum>
  <w:abstractNum w:abstractNumId="1">
    <w:nsid w:val="014309E6"/>
    <w:multiLevelType w:val="multilevel"/>
    <w:tmpl w:val="C5E0D4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924120"/>
    <w:multiLevelType w:val="hybridMultilevel"/>
    <w:tmpl w:val="7A1CFF9E"/>
    <w:lvl w:ilvl="0" w:tplc="E8E06320">
      <w:start w:val="1"/>
      <w:numFmt w:val="bullet"/>
      <w:lvlText w:val=""/>
      <w:lvlJc w:val="left"/>
      <w:pPr>
        <w:ind w:left="72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AB5431"/>
    <w:multiLevelType w:val="hybridMultilevel"/>
    <w:tmpl w:val="5E5EBF7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5BA630E"/>
    <w:multiLevelType w:val="multilevel"/>
    <w:tmpl w:val="CD8AA4E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6DB3566"/>
    <w:multiLevelType w:val="hybridMultilevel"/>
    <w:tmpl w:val="0B3C6CF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078B15F4"/>
    <w:multiLevelType w:val="hybridMultilevel"/>
    <w:tmpl w:val="E6642D8C"/>
    <w:lvl w:ilvl="0" w:tplc="F2F685CA">
      <w:numFmt w:val="bullet"/>
      <w:lvlText w:val="-"/>
      <w:lvlJc w:val="left"/>
      <w:pPr>
        <w:ind w:left="720" w:hanging="360"/>
      </w:pPr>
      <w:rPr>
        <w:rFonts w:ascii="Times New Roman" w:eastAsiaTheme="minorHAnsi" w:hAnsi="Times New Roman" w:cs="Times New Roman"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8C400BC"/>
    <w:multiLevelType w:val="hybridMultilevel"/>
    <w:tmpl w:val="C570FE3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0B1438A2"/>
    <w:multiLevelType w:val="hybridMultilevel"/>
    <w:tmpl w:val="555868D4"/>
    <w:lvl w:ilvl="0" w:tplc="1F5093EE">
      <w:start w:val="1"/>
      <w:numFmt w:val="bullet"/>
      <w:lvlText w:val=""/>
      <w:lvlJc w:val="left"/>
      <w:pPr>
        <w:ind w:left="720" w:hanging="360"/>
      </w:pPr>
      <w:rPr>
        <w:rFonts w:ascii="Symbol" w:hAnsi="Symbol"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0ECA1C12"/>
    <w:multiLevelType w:val="hybridMultilevel"/>
    <w:tmpl w:val="DFB23E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0B47823"/>
    <w:multiLevelType w:val="hybridMultilevel"/>
    <w:tmpl w:val="691E01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2307AF3"/>
    <w:multiLevelType w:val="hybridMultilevel"/>
    <w:tmpl w:val="2A4C29A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3513CCD"/>
    <w:multiLevelType w:val="hybridMultilevel"/>
    <w:tmpl w:val="8F58B0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98D7A64"/>
    <w:multiLevelType w:val="hybridMultilevel"/>
    <w:tmpl w:val="5B5E91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1A961745"/>
    <w:multiLevelType w:val="multilevel"/>
    <w:tmpl w:val="F1A4C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C8A0C56"/>
    <w:multiLevelType w:val="hybridMultilevel"/>
    <w:tmpl w:val="C9F697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1EA007E7"/>
    <w:multiLevelType w:val="hybridMultilevel"/>
    <w:tmpl w:val="4D481C40"/>
    <w:lvl w:ilvl="0" w:tplc="8B58560A">
      <w:numFmt w:val="bullet"/>
      <w:lvlText w:val="-"/>
      <w:lvlJc w:val="left"/>
      <w:pPr>
        <w:ind w:left="1080" w:hanging="360"/>
      </w:pPr>
      <w:rPr>
        <w:rFonts w:ascii="Times New Roman" w:eastAsiaTheme="minorHAnsi"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nsid w:val="2E453893"/>
    <w:multiLevelType w:val="hybridMultilevel"/>
    <w:tmpl w:val="9834B20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2F5058D6"/>
    <w:multiLevelType w:val="multilevel"/>
    <w:tmpl w:val="C9CC2988"/>
    <w:lvl w:ilvl="0">
      <w:start w:val="1"/>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32DA11F5"/>
    <w:multiLevelType w:val="hybridMultilevel"/>
    <w:tmpl w:val="45C282BC"/>
    <w:lvl w:ilvl="0" w:tplc="C930EDF2">
      <w:start w:val="1"/>
      <w:numFmt w:val="bullet"/>
      <w:lvlText w:val="•"/>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852FD56">
      <w:start w:val="1"/>
      <w:numFmt w:val="bullet"/>
      <w:lvlText w:val="o"/>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03E39DE">
      <w:start w:val="1"/>
      <w:numFmt w:val="bullet"/>
      <w:lvlText w:val="▪"/>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58C5572">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B428CE">
      <w:start w:val="1"/>
      <w:numFmt w:val="bullet"/>
      <w:lvlText w:val="o"/>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1EE76CC">
      <w:start w:val="1"/>
      <w:numFmt w:val="bullet"/>
      <w:lvlText w:val="▪"/>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35C0624">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EA4A06">
      <w:start w:val="1"/>
      <w:numFmt w:val="bullet"/>
      <w:lvlText w:val="o"/>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F94169A">
      <w:start w:val="1"/>
      <w:numFmt w:val="bullet"/>
      <w:lvlText w:val="▪"/>
      <w:lvlJc w:val="left"/>
      <w:pPr>
        <w:ind w:left="72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nsid w:val="333E1E23"/>
    <w:multiLevelType w:val="hybridMultilevel"/>
    <w:tmpl w:val="DAA8FE6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36A341AD"/>
    <w:multiLevelType w:val="hybridMultilevel"/>
    <w:tmpl w:val="A30226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3FA3061C"/>
    <w:multiLevelType w:val="hybridMultilevel"/>
    <w:tmpl w:val="5E0EB77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41E82993"/>
    <w:multiLevelType w:val="hybridMultilevel"/>
    <w:tmpl w:val="E0721A8A"/>
    <w:lvl w:ilvl="0" w:tplc="E91C55D2">
      <w:numFmt w:val="bullet"/>
      <w:lvlText w:val="-"/>
      <w:lvlJc w:val="left"/>
      <w:pPr>
        <w:ind w:left="1080" w:hanging="360"/>
      </w:pPr>
      <w:rPr>
        <w:rFonts w:ascii="Times New Roman" w:eastAsiaTheme="minorHAnsi"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4">
    <w:nsid w:val="4247615A"/>
    <w:multiLevelType w:val="hybridMultilevel"/>
    <w:tmpl w:val="FF2E1C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2E766DB"/>
    <w:multiLevelType w:val="hybridMultilevel"/>
    <w:tmpl w:val="742C211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46144021"/>
    <w:multiLevelType w:val="hybridMultilevel"/>
    <w:tmpl w:val="FBEE97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498C4F66"/>
    <w:multiLevelType w:val="multilevel"/>
    <w:tmpl w:val="7F72D50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4D0466A4"/>
    <w:multiLevelType w:val="hybridMultilevel"/>
    <w:tmpl w:val="FAB813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1130C00"/>
    <w:multiLevelType w:val="hybridMultilevel"/>
    <w:tmpl w:val="15F8312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BEB1745"/>
    <w:multiLevelType w:val="hybridMultilevel"/>
    <w:tmpl w:val="BE0A2B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E146D61"/>
    <w:multiLevelType w:val="hybridMultilevel"/>
    <w:tmpl w:val="CCB0039A"/>
    <w:lvl w:ilvl="0" w:tplc="F2F685CA">
      <w:numFmt w:val="bullet"/>
      <w:lvlText w:val="-"/>
      <w:lvlJc w:val="left"/>
      <w:pPr>
        <w:ind w:left="1080" w:hanging="360"/>
      </w:pPr>
      <w:rPr>
        <w:rFonts w:ascii="Times New Roman" w:eastAsiaTheme="minorHAnsi" w:hAnsi="Times New Roman" w:cs="Times New Roman" w:hint="default"/>
        <w:b w:val="0"/>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2">
    <w:nsid w:val="5FFD2C5B"/>
    <w:multiLevelType w:val="hybridMultilevel"/>
    <w:tmpl w:val="93A0DE82"/>
    <w:lvl w:ilvl="0" w:tplc="AA6A2A00">
      <w:start w:val="1"/>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604F0952"/>
    <w:multiLevelType w:val="hybridMultilevel"/>
    <w:tmpl w:val="7BA60E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2FD3DA0"/>
    <w:multiLevelType w:val="hybridMultilevel"/>
    <w:tmpl w:val="CBB44F80"/>
    <w:lvl w:ilvl="0" w:tplc="F13C23D6">
      <w:numFmt w:val="bullet"/>
      <w:lvlText w:val="-"/>
      <w:lvlJc w:val="left"/>
      <w:pPr>
        <w:ind w:left="108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5E1246A"/>
    <w:multiLevelType w:val="hybridMultilevel"/>
    <w:tmpl w:val="7C86AF48"/>
    <w:lvl w:ilvl="0" w:tplc="8408B342">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6957789B"/>
    <w:multiLevelType w:val="hybridMultilevel"/>
    <w:tmpl w:val="560C8B5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7">
    <w:nsid w:val="6AC71A5E"/>
    <w:multiLevelType w:val="hybridMultilevel"/>
    <w:tmpl w:val="4EE40134"/>
    <w:lvl w:ilvl="0" w:tplc="49B877E6">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6B6438A4"/>
    <w:multiLevelType w:val="hybridMultilevel"/>
    <w:tmpl w:val="1A86E50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7250461A"/>
    <w:multiLevelType w:val="hybridMultilevel"/>
    <w:tmpl w:val="246A61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78884C17"/>
    <w:multiLevelType w:val="multilevel"/>
    <w:tmpl w:val="CC70A1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9E50D3B"/>
    <w:multiLevelType w:val="hybridMultilevel"/>
    <w:tmpl w:val="A6AA4B8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4"/>
  </w:num>
  <w:num w:numId="3">
    <w:abstractNumId w:val="31"/>
  </w:num>
  <w:num w:numId="4">
    <w:abstractNumId w:val="7"/>
  </w:num>
  <w:num w:numId="5">
    <w:abstractNumId w:val="38"/>
  </w:num>
  <w:num w:numId="6">
    <w:abstractNumId w:val="25"/>
  </w:num>
  <w:num w:numId="7">
    <w:abstractNumId w:val="16"/>
  </w:num>
  <w:num w:numId="8">
    <w:abstractNumId w:val="6"/>
  </w:num>
  <w:num w:numId="9">
    <w:abstractNumId w:val="30"/>
  </w:num>
  <w:num w:numId="10">
    <w:abstractNumId w:val="29"/>
  </w:num>
  <w:num w:numId="11">
    <w:abstractNumId w:val="33"/>
  </w:num>
  <w:num w:numId="12">
    <w:abstractNumId w:val="41"/>
  </w:num>
  <w:num w:numId="13">
    <w:abstractNumId w:val="13"/>
  </w:num>
  <w:num w:numId="14">
    <w:abstractNumId w:val="35"/>
  </w:num>
  <w:num w:numId="15">
    <w:abstractNumId w:val="17"/>
  </w:num>
  <w:num w:numId="16">
    <w:abstractNumId w:val="21"/>
  </w:num>
  <w:num w:numId="17">
    <w:abstractNumId w:val="26"/>
  </w:num>
  <w:num w:numId="18">
    <w:abstractNumId w:val="20"/>
  </w:num>
  <w:num w:numId="19">
    <w:abstractNumId w:val="32"/>
  </w:num>
  <w:num w:numId="20">
    <w:abstractNumId w:val="3"/>
  </w:num>
  <w:num w:numId="21">
    <w:abstractNumId w:val="39"/>
  </w:num>
  <w:num w:numId="22">
    <w:abstractNumId w:val="23"/>
  </w:num>
  <w:num w:numId="23">
    <w:abstractNumId w:val="37"/>
  </w:num>
  <w:num w:numId="24">
    <w:abstractNumId w:val="24"/>
  </w:num>
  <w:num w:numId="25">
    <w:abstractNumId w:val="2"/>
  </w:num>
  <w:num w:numId="26">
    <w:abstractNumId w:val="8"/>
  </w:num>
  <w:num w:numId="27">
    <w:abstractNumId w:val="22"/>
  </w:num>
  <w:num w:numId="28">
    <w:abstractNumId w:val="12"/>
  </w:num>
  <w:num w:numId="29">
    <w:abstractNumId w:val="14"/>
  </w:num>
  <w:num w:numId="30">
    <w:abstractNumId w:val="4"/>
  </w:num>
  <w:num w:numId="31">
    <w:abstractNumId w:val="11"/>
  </w:num>
  <w:num w:numId="32">
    <w:abstractNumId w:val="15"/>
  </w:num>
  <w:num w:numId="33">
    <w:abstractNumId w:val="1"/>
  </w:num>
  <w:num w:numId="34">
    <w:abstractNumId w:val="36"/>
  </w:num>
  <w:num w:numId="35">
    <w:abstractNumId w:val="18"/>
  </w:num>
  <w:num w:numId="36">
    <w:abstractNumId w:val="5"/>
  </w:num>
  <w:num w:numId="37">
    <w:abstractNumId w:val="19"/>
  </w:num>
  <w:num w:numId="38">
    <w:abstractNumId w:val="28"/>
  </w:num>
  <w:num w:numId="39">
    <w:abstractNumId w:val="9"/>
  </w:num>
  <w:num w:numId="40">
    <w:abstractNumId w:val="27"/>
  </w:num>
  <w:num w:numId="41">
    <w:abstractNumId w:val="10"/>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15C"/>
    <w:rsid w:val="000A66D4"/>
    <w:rsid w:val="000F0887"/>
    <w:rsid w:val="001562EF"/>
    <w:rsid w:val="00172C0B"/>
    <w:rsid w:val="0018220B"/>
    <w:rsid w:val="00197B65"/>
    <w:rsid w:val="001C0506"/>
    <w:rsid w:val="001C3638"/>
    <w:rsid w:val="00260BB1"/>
    <w:rsid w:val="00261954"/>
    <w:rsid w:val="00277FE1"/>
    <w:rsid w:val="00302791"/>
    <w:rsid w:val="003309C4"/>
    <w:rsid w:val="00345E29"/>
    <w:rsid w:val="00381779"/>
    <w:rsid w:val="003B1EEF"/>
    <w:rsid w:val="003C58A5"/>
    <w:rsid w:val="003F2D86"/>
    <w:rsid w:val="00455933"/>
    <w:rsid w:val="004675E3"/>
    <w:rsid w:val="00484FE2"/>
    <w:rsid w:val="004B587B"/>
    <w:rsid w:val="005430A2"/>
    <w:rsid w:val="005E5B93"/>
    <w:rsid w:val="006308B4"/>
    <w:rsid w:val="006A44B7"/>
    <w:rsid w:val="006B6F5A"/>
    <w:rsid w:val="007147B3"/>
    <w:rsid w:val="00724CB4"/>
    <w:rsid w:val="00753499"/>
    <w:rsid w:val="007C75EE"/>
    <w:rsid w:val="007D182A"/>
    <w:rsid w:val="00805261"/>
    <w:rsid w:val="008F75B4"/>
    <w:rsid w:val="00974976"/>
    <w:rsid w:val="009E6949"/>
    <w:rsid w:val="009F4F80"/>
    <w:rsid w:val="00A273BF"/>
    <w:rsid w:val="00AA1566"/>
    <w:rsid w:val="00AE5F68"/>
    <w:rsid w:val="00B331B3"/>
    <w:rsid w:val="00BD163D"/>
    <w:rsid w:val="00C334E9"/>
    <w:rsid w:val="00C446EB"/>
    <w:rsid w:val="00CE7F55"/>
    <w:rsid w:val="00CF6209"/>
    <w:rsid w:val="00D37EA1"/>
    <w:rsid w:val="00DC3704"/>
    <w:rsid w:val="00E4415C"/>
    <w:rsid w:val="00E84BC4"/>
    <w:rsid w:val="00F01640"/>
    <w:rsid w:val="00F95899"/>
    <w:rsid w:val="00FD2F39"/>
    <w:rsid w:val="00FE2E4E"/>
    <w:rsid w:val="00FF5EDE"/>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79"/>
    <o:shapelayout v:ext="edit">
      <o:idmap v:ext="edit" data="1"/>
      <o:rules v:ext="edit">
        <o:r id="V:Rule15" type="connector" idref="#Straight Arrow Connector 80"/>
        <o:r id="V:Rule16" type="connector" idref="#Straight Arrow Connector 82"/>
        <o:r id="V:Rule17" type="connector" idref="#Straight Arrow Connector 81"/>
        <o:r id="V:Rule18" type="connector" idref="#Straight Arrow Connector 86"/>
        <o:r id="V:Rule19" type="connector" idref="#Straight Arrow Connector 85"/>
        <o:r id="V:Rule20" type="connector" idref="#Straight Arrow Connector 83"/>
        <o:r id="V:Rule21" type="connector" idref="#Straight Arrow Connector 84"/>
        <o:r id="V:Rule22" type="connector" idref="#Straight Arrow Connector 89"/>
        <o:r id="V:Rule23" type="connector" idref="#Straight Arrow Connector 90"/>
        <o:r id="V:Rule24" type="connector" idref="#Straight Arrow Connector 92"/>
        <o:r id="V:Rule25" type="connector" idref="#Straight Arrow Connector 91"/>
        <o:r id="V:Rule26" type="connector" idref="#Straight Arrow Connector 87"/>
        <o:r id="V:Rule27" type="connector" idref="#Straight Arrow Connector 88"/>
        <o:r id="V:Rule28" type="connector" idref="#Straight Arrow Connector 93"/>
      </o:rules>
    </o:shapelayout>
  </w:shapeDefaults>
  <w:decimalSymbol w:val="."/>
  <w:listSeparator w:val=","/>
  <w15:docId w15:val="{D1339076-3918-48F4-BAA9-C42F23410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75B4"/>
    <w:pPr>
      <w:autoSpaceDE w:val="0"/>
      <w:autoSpaceDN w:val="0"/>
      <w:spacing w:after="0" w:line="240" w:lineRule="auto"/>
    </w:pPr>
    <w:rPr>
      <w:rFonts w:ascii="Times" w:hAnsi="Times" w:cs="Times"/>
      <w:sz w:val="24"/>
      <w:szCs w:val="24"/>
      <w:lang w:val="en-US" w:eastAsia="en-US"/>
    </w:rPr>
  </w:style>
  <w:style w:type="paragraph" w:styleId="Heading1">
    <w:name w:val="heading 1"/>
    <w:next w:val="Normal"/>
    <w:link w:val="Heading1Char"/>
    <w:uiPriority w:val="9"/>
    <w:unhideWhenUsed/>
    <w:qFormat/>
    <w:rsid w:val="005430A2"/>
    <w:pPr>
      <w:keepNext/>
      <w:keepLines/>
      <w:spacing w:after="0" w:line="259" w:lineRule="auto"/>
      <w:ind w:left="720"/>
      <w:outlineLvl w:val="0"/>
    </w:pPr>
    <w:rPr>
      <w:rFonts w:ascii="Calibri" w:eastAsia="Calibri" w:hAnsi="Calibri" w:cs="Calibri"/>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0A2"/>
    <w:rPr>
      <w:rFonts w:ascii="Calibri" w:eastAsia="Calibri" w:hAnsi="Calibri" w:cs="Calibri"/>
      <w:color w:val="000000"/>
      <w:sz w:val="32"/>
    </w:rPr>
  </w:style>
  <w:style w:type="paragraph" w:styleId="Header">
    <w:name w:val="header"/>
    <w:basedOn w:val="Normal"/>
    <w:link w:val="HeaderChar"/>
    <w:uiPriority w:val="99"/>
    <w:rsid w:val="008F75B4"/>
    <w:pPr>
      <w:tabs>
        <w:tab w:val="center" w:pos="4320"/>
        <w:tab w:val="right" w:pos="8640"/>
      </w:tabs>
    </w:pPr>
  </w:style>
  <w:style w:type="character" w:customStyle="1" w:styleId="HeaderChar">
    <w:name w:val="Header Char"/>
    <w:basedOn w:val="DefaultParagraphFont"/>
    <w:link w:val="Header"/>
    <w:uiPriority w:val="99"/>
    <w:locked/>
    <w:rsid w:val="008F75B4"/>
    <w:rPr>
      <w:rFonts w:ascii="Times" w:hAnsi="Times" w:cs="Times"/>
      <w:sz w:val="24"/>
      <w:szCs w:val="24"/>
      <w:lang w:val="en-US" w:eastAsia="en-US"/>
    </w:rPr>
  </w:style>
  <w:style w:type="paragraph" w:styleId="Footer">
    <w:name w:val="footer"/>
    <w:basedOn w:val="Normal"/>
    <w:link w:val="FooterChar"/>
    <w:uiPriority w:val="99"/>
    <w:rsid w:val="008F75B4"/>
    <w:pPr>
      <w:tabs>
        <w:tab w:val="center" w:pos="4320"/>
        <w:tab w:val="right" w:pos="8640"/>
      </w:tabs>
    </w:pPr>
  </w:style>
  <w:style w:type="character" w:customStyle="1" w:styleId="FooterChar">
    <w:name w:val="Footer Char"/>
    <w:basedOn w:val="DefaultParagraphFont"/>
    <w:link w:val="Footer"/>
    <w:uiPriority w:val="99"/>
    <w:locked/>
    <w:rsid w:val="008F75B4"/>
    <w:rPr>
      <w:rFonts w:ascii="Times" w:hAnsi="Times" w:cs="Times"/>
      <w:sz w:val="24"/>
      <w:szCs w:val="24"/>
      <w:lang w:val="en-US" w:eastAsia="en-US"/>
    </w:rPr>
  </w:style>
  <w:style w:type="character" w:styleId="PageNumber">
    <w:name w:val="page number"/>
    <w:basedOn w:val="DefaultParagraphFont"/>
    <w:uiPriority w:val="99"/>
    <w:rsid w:val="008F75B4"/>
    <w:rPr>
      <w:rFonts w:cs="Times New Roman"/>
    </w:rPr>
  </w:style>
  <w:style w:type="paragraph" w:styleId="BlockText">
    <w:name w:val="Block Text"/>
    <w:basedOn w:val="Normal"/>
    <w:uiPriority w:val="99"/>
    <w:rsid w:val="008F75B4"/>
    <w:pPr>
      <w:tabs>
        <w:tab w:val="left" w:pos="5103"/>
        <w:tab w:val="left" w:pos="5387"/>
        <w:tab w:val="left" w:pos="8931"/>
      </w:tabs>
      <w:ind w:left="567" w:right="-52"/>
    </w:pPr>
  </w:style>
  <w:style w:type="character" w:styleId="Hyperlink">
    <w:name w:val="Hyperlink"/>
    <w:basedOn w:val="DefaultParagraphFont"/>
    <w:uiPriority w:val="99"/>
    <w:unhideWhenUsed/>
    <w:rsid w:val="004675E3"/>
    <w:rPr>
      <w:color w:val="0000FF" w:themeColor="hyperlink"/>
      <w:u w:val="single"/>
    </w:rPr>
  </w:style>
  <w:style w:type="paragraph" w:styleId="ListParagraph">
    <w:name w:val="List Paragraph"/>
    <w:basedOn w:val="Normal"/>
    <w:uiPriority w:val="34"/>
    <w:qFormat/>
    <w:rsid w:val="005430A2"/>
    <w:pPr>
      <w:autoSpaceDE/>
      <w:autoSpaceDN/>
      <w:spacing w:after="160" w:line="259" w:lineRule="auto"/>
      <w:ind w:left="720"/>
      <w:contextualSpacing/>
    </w:pPr>
    <w:rPr>
      <w:rFonts w:asciiTheme="minorHAnsi" w:eastAsiaTheme="minorHAnsi" w:hAnsiTheme="minorHAnsi" w:cstheme="minorBidi"/>
      <w:sz w:val="22"/>
      <w:szCs w:val="22"/>
      <w:lang w:val="en-AU"/>
    </w:rPr>
  </w:style>
  <w:style w:type="paragraph" w:customStyle="1" w:styleId="Default">
    <w:name w:val="Default"/>
    <w:rsid w:val="005430A2"/>
    <w:pPr>
      <w:autoSpaceDE w:val="0"/>
      <w:autoSpaceDN w:val="0"/>
      <w:adjustRightInd w:val="0"/>
      <w:spacing w:after="0" w:line="240" w:lineRule="auto"/>
    </w:pPr>
    <w:rPr>
      <w:rFonts w:eastAsiaTheme="minorHAnsi"/>
      <w:color w:val="000000"/>
      <w:sz w:val="24"/>
      <w:szCs w:val="24"/>
      <w:lang w:eastAsia="en-US"/>
    </w:rPr>
  </w:style>
  <w:style w:type="character" w:styleId="Emphasis">
    <w:name w:val="Emphasis"/>
    <w:basedOn w:val="DefaultParagraphFont"/>
    <w:uiPriority w:val="20"/>
    <w:qFormat/>
    <w:rsid w:val="005430A2"/>
    <w:rPr>
      <w:i/>
      <w:iCs/>
    </w:rPr>
  </w:style>
  <w:style w:type="character" w:customStyle="1" w:styleId="CommentTextChar">
    <w:name w:val="Comment Text Char"/>
    <w:basedOn w:val="DefaultParagraphFont"/>
    <w:link w:val="CommentText"/>
    <w:uiPriority w:val="99"/>
    <w:semiHidden/>
    <w:rsid w:val="005430A2"/>
    <w:rPr>
      <w:rFonts w:asciiTheme="minorHAnsi" w:eastAsiaTheme="minorHAnsi" w:hAnsiTheme="minorHAnsi" w:cstheme="minorBidi"/>
      <w:sz w:val="20"/>
      <w:szCs w:val="20"/>
      <w:lang w:eastAsia="en-US"/>
    </w:rPr>
  </w:style>
  <w:style w:type="paragraph" w:styleId="CommentText">
    <w:name w:val="annotation text"/>
    <w:basedOn w:val="Normal"/>
    <w:link w:val="CommentTextChar"/>
    <w:uiPriority w:val="99"/>
    <w:semiHidden/>
    <w:unhideWhenUsed/>
    <w:rsid w:val="005430A2"/>
    <w:pPr>
      <w:autoSpaceDE/>
      <w:autoSpaceDN/>
      <w:spacing w:after="160"/>
    </w:pPr>
    <w:rPr>
      <w:rFonts w:asciiTheme="minorHAnsi" w:eastAsiaTheme="minorHAnsi" w:hAnsiTheme="minorHAnsi" w:cstheme="minorBidi"/>
      <w:sz w:val="20"/>
      <w:szCs w:val="20"/>
      <w:lang w:val="en-AU"/>
    </w:rPr>
  </w:style>
  <w:style w:type="character" w:customStyle="1" w:styleId="BalloonTextChar">
    <w:name w:val="Balloon Text Char"/>
    <w:basedOn w:val="DefaultParagraphFont"/>
    <w:link w:val="BalloonText"/>
    <w:uiPriority w:val="99"/>
    <w:semiHidden/>
    <w:rsid w:val="005430A2"/>
    <w:rPr>
      <w:rFonts w:ascii="Segoe UI" w:eastAsiaTheme="minorHAnsi" w:hAnsi="Segoe UI" w:cs="Segoe UI"/>
      <w:sz w:val="18"/>
      <w:szCs w:val="18"/>
      <w:lang w:eastAsia="en-US"/>
    </w:rPr>
  </w:style>
  <w:style w:type="paragraph" w:styleId="BalloonText">
    <w:name w:val="Balloon Text"/>
    <w:basedOn w:val="Normal"/>
    <w:link w:val="BalloonTextChar"/>
    <w:uiPriority w:val="99"/>
    <w:semiHidden/>
    <w:unhideWhenUsed/>
    <w:rsid w:val="005430A2"/>
    <w:pPr>
      <w:autoSpaceDE/>
      <w:autoSpaceDN/>
    </w:pPr>
    <w:rPr>
      <w:rFonts w:ascii="Segoe UI" w:eastAsiaTheme="minorHAnsi" w:hAnsi="Segoe UI" w:cs="Segoe UI"/>
      <w:sz w:val="18"/>
      <w:szCs w:val="18"/>
      <w:lang w:val="en-AU"/>
    </w:rPr>
  </w:style>
  <w:style w:type="paragraph" w:styleId="Revision">
    <w:name w:val="Revision"/>
    <w:hidden/>
    <w:uiPriority w:val="99"/>
    <w:semiHidden/>
    <w:rsid w:val="005430A2"/>
    <w:pPr>
      <w:spacing w:after="0" w:line="240" w:lineRule="auto"/>
    </w:pPr>
    <w:rPr>
      <w:rFonts w:asciiTheme="minorHAnsi" w:eastAsiaTheme="minorHAnsi" w:hAnsiTheme="minorHAnsi" w:cstheme="minorBidi"/>
      <w:lang w:eastAsia="en-US"/>
    </w:rPr>
  </w:style>
  <w:style w:type="paragraph" w:customStyle="1" w:styleId="ecxmsonormal">
    <w:name w:val="ecxmsonormal"/>
    <w:basedOn w:val="Normal"/>
    <w:rsid w:val="005430A2"/>
    <w:pPr>
      <w:autoSpaceDE/>
      <w:autoSpaceDN/>
      <w:spacing w:before="100" w:beforeAutospacing="1" w:after="100" w:afterAutospacing="1"/>
    </w:pPr>
    <w:rPr>
      <w:rFonts w:ascii="Times New Roman" w:hAnsi="Times New Roman" w:cs="Times New Roman"/>
      <w:lang w:val="en-AU" w:eastAsia="en-AU"/>
    </w:rPr>
  </w:style>
  <w:style w:type="character" w:customStyle="1" w:styleId="st">
    <w:name w:val="st"/>
    <w:basedOn w:val="DefaultParagraphFont"/>
    <w:rsid w:val="005430A2"/>
  </w:style>
  <w:style w:type="table" w:styleId="TableGrid">
    <w:name w:val="Table Grid"/>
    <w:basedOn w:val="TableNormal"/>
    <w:uiPriority w:val="39"/>
    <w:rsid w:val="005430A2"/>
    <w:pPr>
      <w:spacing w:after="0" w:line="240" w:lineRule="auto"/>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430A2"/>
    <w:pPr>
      <w:autoSpaceDE/>
      <w:autoSpaceDN/>
      <w:spacing w:before="100" w:beforeAutospacing="1" w:after="100" w:afterAutospacing="1"/>
    </w:pPr>
    <w:rPr>
      <w:rFonts w:ascii="Times New Roman" w:eastAsiaTheme="minorEastAsia" w:hAnsi="Times New Roman" w:cs="Times New Roman"/>
      <w:lang w:val="en-AU" w:eastAsia="en-AU"/>
    </w:rPr>
  </w:style>
  <w:style w:type="paragraph" w:customStyle="1" w:styleId="ecxreferences1">
    <w:name w:val="ecxreferences1"/>
    <w:basedOn w:val="Normal"/>
    <w:rsid w:val="005430A2"/>
    <w:pPr>
      <w:autoSpaceDE/>
      <w:autoSpaceDN/>
      <w:spacing w:before="100" w:beforeAutospacing="1" w:after="100" w:afterAutospacing="1"/>
    </w:pPr>
    <w:rPr>
      <w:rFonts w:ascii="Times New Roman" w:hAnsi="Times New Roman" w:cs="Times New Roman"/>
      <w:lang w:val="en-AU" w:eastAsia="en-AU"/>
    </w:rPr>
  </w:style>
  <w:style w:type="table" w:customStyle="1" w:styleId="TableGrid0">
    <w:name w:val="TableGrid"/>
    <w:rsid w:val="005430A2"/>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customStyle="1" w:styleId="BodyDHS">
    <w:name w:val="Body DHS"/>
    <w:link w:val="BodyDHSChar"/>
    <w:rsid w:val="005430A2"/>
    <w:pPr>
      <w:suppressAutoHyphens/>
      <w:overflowPunct w:val="0"/>
      <w:autoSpaceDE w:val="0"/>
      <w:autoSpaceDN w:val="0"/>
      <w:adjustRightInd w:val="0"/>
      <w:spacing w:after="180" w:line="260" w:lineRule="exact"/>
      <w:textAlignment w:val="baseline"/>
    </w:pPr>
    <w:rPr>
      <w:rFonts w:ascii="Book Antiqua" w:hAnsi="Book Antiqua"/>
      <w:sz w:val="21"/>
      <w:szCs w:val="20"/>
      <w:lang w:eastAsia="en-US"/>
    </w:rPr>
  </w:style>
  <w:style w:type="character" w:customStyle="1" w:styleId="BodyDHSChar">
    <w:name w:val="Body DHS Char"/>
    <w:basedOn w:val="DefaultParagraphFont"/>
    <w:link w:val="BodyDHS"/>
    <w:rsid w:val="005430A2"/>
    <w:rPr>
      <w:rFonts w:ascii="Book Antiqua" w:hAnsi="Book Antiqua"/>
      <w:sz w:val="21"/>
      <w:szCs w:val="20"/>
      <w:lang w:eastAsia="en-US"/>
    </w:rPr>
  </w:style>
  <w:style w:type="paragraph" w:customStyle="1" w:styleId="HeadingCDHS">
    <w:name w:val="Heading C DHS"/>
    <w:next w:val="BodyDHS"/>
    <w:rsid w:val="005430A2"/>
    <w:pPr>
      <w:keepNext/>
      <w:keepLines/>
      <w:widowControl w:val="0"/>
      <w:suppressAutoHyphens/>
      <w:overflowPunct w:val="0"/>
      <w:autoSpaceDE w:val="0"/>
      <w:autoSpaceDN w:val="0"/>
      <w:adjustRightInd w:val="0"/>
      <w:spacing w:before="200" w:after="80" w:line="280" w:lineRule="exact"/>
      <w:textAlignment w:val="baseline"/>
    </w:pPr>
    <w:rPr>
      <w:rFonts w:ascii="Univers Condensed" w:hAnsi="Univers Condensed"/>
      <w:b/>
      <w:sz w:val="24"/>
      <w:szCs w:val="20"/>
      <w:lang w:eastAsia="en-US"/>
    </w:rPr>
  </w:style>
  <w:style w:type="paragraph" w:customStyle="1" w:styleId="AppbodyDHS">
    <w:name w:val="App body DHS"/>
    <w:basedOn w:val="BodyDHS"/>
    <w:link w:val="AppbodyDHSChar"/>
    <w:rsid w:val="005430A2"/>
    <w:rPr>
      <w:rFonts w:ascii="Univers Condensed" w:hAnsi="Univers Condensed"/>
    </w:rPr>
  </w:style>
  <w:style w:type="character" w:customStyle="1" w:styleId="AppbodyDHSChar">
    <w:name w:val="App body DHS Char"/>
    <w:basedOn w:val="BodyDHSChar"/>
    <w:link w:val="AppbodyDHS"/>
    <w:rsid w:val="005430A2"/>
    <w:rPr>
      <w:rFonts w:ascii="Univers Condensed" w:hAnsi="Univers Condensed"/>
      <w:sz w:val="21"/>
      <w:szCs w:val="20"/>
      <w:lang w:eastAsia="en-US"/>
    </w:rPr>
  </w:style>
  <w:style w:type="paragraph" w:customStyle="1" w:styleId="StyleAppbodyDHSArial10ptBoldItalic">
    <w:name w:val="Style App body DHS + Arial 10 pt Bold Italic"/>
    <w:basedOn w:val="AppbodyDHS"/>
    <w:link w:val="StyleAppbodyDHSArial10ptBoldItalicChar"/>
    <w:rsid w:val="005430A2"/>
    <w:pPr>
      <w:spacing w:after="0"/>
    </w:pPr>
    <w:rPr>
      <w:rFonts w:ascii="Arial" w:hAnsi="Arial"/>
      <w:b/>
      <w:bCs/>
      <w:i/>
      <w:iCs/>
      <w:color w:val="0000FF"/>
      <w:sz w:val="20"/>
    </w:rPr>
  </w:style>
  <w:style w:type="character" w:customStyle="1" w:styleId="StyleAppbodyDHSArial10ptBoldItalicChar">
    <w:name w:val="Style App body DHS + Arial 10 pt Bold Italic Char"/>
    <w:basedOn w:val="AppbodyDHSChar"/>
    <w:link w:val="StyleAppbodyDHSArial10ptBoldItalic"/>
    <w:rsid w:val="005430A2"/>
    <w:rPr>
      <w:rFonts w:ascii="Arial" w:hAnsi="Arial"/>
      <w:b/>
      <w:bCs/>
      <w:i/>
      <w:iCs/>
      <w:color w:val="0000FF"/>
      <w:sz w:val="20"/>
      <w:szCs w:val="20"/>
      <w:lang w:eastAsia="en-US"/>
    </w:rPr>
  </w:style>
  <w:style w:type="character" w:customStyle="1" w:styleId="CommentSubjectChar">
    <w:name w:val="Comment Subject Char"/>
    <w:basedOn w:val="CommentTextChar"/>
    <w:link w:val="CommentSubject"/>
    <w:uiPriority w:val="99"/>
    <w:semiHidden/>
    <w:rsid w:val="005430A2"/>
    <w:rPr>
      <w:rFonts w:asciiTheme="minorHAnsi" w:eastAsiaTheme="minorHAnsi" w:hAnsiTheme="minorHAnsi" w:cstheme="minorBidi"/>
      <w:b/>
      <w:bCs/>
      <w:sz w:val="20"/>
      <w:szCs w:val="20"/>
      <w:lang w:eastAsia="en-US"/>
    </w:rPr>
  </w:style>
  <w:style w:type="paragraph" w:styleId="CommentSubject">
    <w:name w:val="annotation subject"/>
    <w:basedOn w:val="CommentText"/>
    <w:next w:val="CommentText"/>
    <w:link w:val="CommentSubjectChar"/>
    <w:uiPriority w:val="99"/>
    <w:semiHidden/>
    <w:unhideWhenUsed/>
    <w:rsid w:val="005430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sap@deakin.edu.au" TargetMode="External"/><Relationship Id="rId13" Type="http://schemas.openxmlformats.org/officeDocument/2006/relationships/hyperlink" Target="http://www.deakin.edu.au/research/acqol/intruments/wellbeing-index/index.php" TargetMode="External"/><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deakin.edu.au/research/acqol/index.php"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www.deakin.edu.au/hmnbs/research/ethics/ethicssubmissionprocess.ph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x.doi.org.ezproxy-m.deakin.edu.au/10.1093/aje/kwp070" TargetMode="External"/><Relationship Id="rId5" Type="http://schemas.openxmlformats.org/officeDocument/2006/relationships/footnotes" Target="footnotes.xml"/><Relationship Id="rId15" Type="http://schemas.openxmlformats.org/officeDocument/2006/relationships/hyperlink" Target="http://www.deakin.edu.au/hmnbs/research/ethics/ethicssubmissionprocess.php" TargetMode="External"/><Relationship Id="rId10" Type="http://schemas.openxmlformats.org/officeDocument/2006/relationships/hyperlink" Target="http://www.deakin.edu.au/research/acqol/intruments/wellbeing-index/index.php" TargetMode="External"/><Relationship Id="rId19"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deakin.edu.au/research/acqol/index.php" TargetMode="External"/><Relationship Id="rId14" Type="http://schemas.openxmlformats.org/officeDocument/2006/relationships/hyperlink" Target="http://www.oecd.org/statistics/Guidelines%20on%20Measuring%20Subjective%20Well-being.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12904</Words>
  <Characters>73557</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Title of thesis goes here</vt:lpstr>
    </vt:vector>
  </TitlesOfParts>
  <Company>Deakin University</Company>
  <LinksUpToDate>false</LinksUpToDate>
  <CharactersWithSpaces>86289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of thesis goes here</dc:title>
  <dc:creator>School of Psychology</dc:creator>
  <cp:lastModifiedBy>TC</cp:lastModifiedBy>
  <cp:revision>2</cp:revision>
  <cp:lastPrinted>2001-10-24T04:18:00Z</cp:lastPrinted>
  <dcterms:created xsi:type="dcterms:W3CDTF">2017-01-27T11:59:00Z</dcterms:created>
  <dcterms:modified xsi:type="dcterms:W3CDTF">2017-01-27T11:59:00Z</dcterms:modified>
</cp:coreProperties>
</file>