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D46" w:rsidRPr="00BB5D46" w:rsidRDefault="00BB5D46" w:rsidP="00BB5D46">
      <w:pPr>
        <w:ind w:left="-1134" w:firstLine="1134"/>
        <w:rPr>
          <w:rFonts w:eastAsia="Arial" w:cs="Times New Roman"/>
          <w:sz w:val="16"/>
          <w:szCs w:val="16"/>
        </w:rPr>
      </w:pPr>
      <w:bookmarkStart w:id="0" w:name="_GoBack"/>
      <w:bookmarkEnd w:id="0"/>
    </w:p>
    <w:p w:rsidR="004504EB" w:rsidRDefault="004504EB" w:rsidP="004504EB">
      <w:pPr>
        <w:jc w:val="center"/>
        <w:rPr>
          <w:rFonts w:eastAsia="Calibri" w:cs="Times New Roman"/>
          <w:b/>
          <w:sz w:val="36"/>
          <w:szCs w:val="36"/>
          <w:highlight w:val="yellow"/>
        </w:rPr>
      </w:pPr>
      <w:r w:rsidRPr="004504EB">
        <w:rPr>
          <w:rFonts w:eastAsia="Calibri" w:cs="Times New Roman"/>
          <w:b/>
          <w:sz w:val="36"/>
          <w:szCs w:val="36"/>
          <w:highlight w:val="yellow"/>
        </w:rPr>
        <w:t>Australian Centre on Quality of Life Bulletin Archive</w:t>
      </w:r>
    </w:p>
    <w:p w:rsidR="004504EB" w:rsidRDefault="004504EB" w:rsidP="004504EB">
      <w:pPr>
        <w:jc w:val="center"/>
        <w:rPr>
          <w:rFonts w:eastAsia="Calibri" w:cs="Times New Roman"/>
          <w:sz w:val="28"/>
          <w:szCs w:val="28"/>
        </w:rPr>
      </w:pPr>
      <w:r w:rsidRPr="004504EB">
        <w:rPr>
          <w:rFonts w:eastAsia="Calibri" w:cs="Times New Roman"/>
          <w:sz w:val="28"/>
          <w:szCs w:val="28"/>
        </w:rPr>
        <w:t xml:space="preserve"> </w:t>
      </w:r>
      <w:hyperlink r:id="rId6" w:anchor="bulletins" w:history="1">
        <w:r w:rsidRPr="00E37D62">
          <w:rPr>
            <w:rStyle w:val="Hyperlink"/>
            <w:rFonts w:eastAsia="Calibri" w:cs="Times New Roman"/>
            <w:sz w:val="28"/>
            <w:szCs w:val="28"/>
          </w:rPr>
          <w:t>http://www.acqol.com.au/publications#bulletins</w:t>
        </w:r>
      </w:hyperlink>
    </w:p>
    <w:p w:rsidR="004504EB" w:rsidRPr="004504EB" w:rsidRDefault="004504EB" w:rsidP="004504EB">
      <w:pPr>
        <w:rPr>
          <w:rFonts w:eastAsia="Arial" w:cs="Times New Roman"/>
          <w:sz w:val="16"/>
          <w:szCs w:val="16"/>
        </w:rPr>
      </w:pPr>
    </w:p>
    <w:p w:rsidR="004504EB" w:rsidRPr="004504EB" w:rsidRDefault="004504EB" w:rsidP="004504EB">
      <w:pPr>
        <w:jc w:val="center"/>
        <w:rPr>
          <w:rFonts w:eastAsia="Calibri" w:cs="Times New Roman"/>
          <w:b/>
          <w:sz w:val="28"/>
          <w:szCs w:val="28"/>
          <w:highlight w:val="yellow"/>
        </w:rPr>
      </w:pPr>
      <w:proofErr w:type="spellStart"/>
      <w:r w:rsidRPr="004504EB">
        <w:rPr>
          <w:rFonts w:eastAsia="Calibri" w:cs="Times New Roman"/>
          <w:b/>
          <w:sz w:val="28"/>
          <w:szCs w:val="28"/>
          <w:highlight w:val="yellow"/>
        </w:rPr>
        <w:t>ACQol</w:t>
      </w:r>
      <w:proofErr w:type="spellEnd"/>
      <w:r w:rsidRPr="004504EB">
        <w:rPr>
          <w:rFonts w:eastAsia="Calibri" w:cs="Times New Roman"/>
          <w:b/>
          <w:sz w:val="28"/>
          <w:szCs w:val="28"/>
          <w:highlight w:val="yellow"/>
        </w:rPr>
        <w:t xml:space="preserve"> Bulletin Vol 3/</w:t>
      </w:r>
      <w:r>
        <w:rPr>
          <w:rFonts w:eastAsia="Calibri" w:cs="Times New Roman"/>
          <w:b/>
          <w:sz w:val="28"/>
          <w:szCs w:val="28"/>
          <w:highlight w:val="yellow"/>
        </w:rPr>
        <w:t>27</w:t>
      </w:r>
      <w:r w:rsidRPr="004504EB">
        <w:rPr>
          <w:rFonts w:eastAsia="Calibri" w:cs="Times New Roman"/>
          <w:b/>
          <w:sz w:val="28"/>
          <w:szCs w:val="28"/>
          <w:highlight w:val="yellow"/>
        </w:rPr>
        <w:t>: 040</w:t>
      </w:r>
      <w:r>
        <w:rPr>
          <w:rFonts w:eastAsia="Calibri" w:cs="Times New Roman"/>
          <w:b/>
          <w:sz w:val="28"/>
          <w:szCs w:val="28"/>
          <w:highlight w:val="yellow"/>
        </w:rPr>
        <w:t>7</w:t>
      </w:r>
      <w:r w:rsidRPr="004504EB">
        <w:rPr>
          <w:rFonts w:eastAsia="Calibri" w:cs="Times New Roman"/>
          <w:b/>
          <w:sz w:val="28"/>
          <w:szCs w:val="28"/>
          <w:highlight w:val="yellow"/>
        </w:rPr>
        <w:t xml:space="preserve">19 </w:t>
      </w:r>
      <w:r w:rsidRPr="004504EB">
        <w:rPr>
          <w:rFonts w:eastAsia="Calibri" w:cs="Times New Roman"/>
          <w:i/>
          <w:sz w:val="28"/>
          <w:szCs w:val="28"/>
          <w:highlight w:val="yellow"/>
        </w:rPr>
        <w:t>to</w:t>
      </w:r>
      <w:r w:rsidRPr="004504EB">
        <w:rPr>
          <w:rFonts w:eastAsia="Calibri" w:cs="Times New Roman"/>
          <w:b/>
          <w:sz w:val="28"/>
          <w:szCs w:val="28"/>
          <w:highlight w:val="yellow"/>
        </w:rPr>
        <w:t xml:space="preserve"> Vol 3/</w:t>
      </w:r>
      <w:r>
        <w:rPr>
          <w:rFonts w:eastAsia="Calibri" w:cs="Times New Roman"/>
          <w:b/>
          <w:sz w:val="28"/>
          <w:szCs w:val="28"/>
          <w:highlight w:val="yellow"/>
        </w:rPr>
        <w:t>39</w:t>
      </w:r>
      <w:r w:rsidRPr="004504EB">
        <w:rPr>
          <w:rFonts w:eastAsia="Calibri" w:cs="Times New Roman"/>
          <w:b/>
          <w:sz w:val="28"/>
          <w:szCs w:val="28"/>
          <w:highlight w:val="yellow"/>
        </w:rPr>
        <w:t>: 2</w:t>
      </w:r>
      <w:r>
        <w:rPr>
          <w:rFonts w:eastAsia="Calibri" w:cs="Times New Roman"/>
          <w:b/>
          <w:sz w:val="28"/>
          <w:szCs w:val="28"/>
          <w:highlight w:val="yellow"/>
        </w:rPr>
        <w:t>609</w:t>
      </w:r>
      <w:r w:rsidRPr="004504EB">
        <w:rPr>
          <w:rFonts w:eastAsia="Calibri" w:cs="Times New Roman"/>
          <w:b/>
          <w:sz w:val="28"/>
          <w:szCs w:val="28"/>
          <w:highlight w:val="yellow"/>
        </w:rPr>
        <w:t>19</w:t>
      </w:r>
    </w:p>
    <w:p w:rsidR="00FD3060" w:rsidRPr="00FD3060" w:rsidRDefault="00FD3060" w:rsidP="00FD3060">
      <w:pPr>
        <w:pBdr>
          <w:bottom w:val="single" w:sz="6" w:space="1" w:color="auto"/>
        </w:pBdr>
        <w:rPr>
          <w:rFonts w:ascii="Calibri Light" w:eastAsia="Calibri" w:hAnsi="Calibri Light" w:cs="Calibri Light"/>
          <w:b/>
          <w:sz w:val="28"/>
          <w:szCs w:val="28"/>
        </w:rPr>
      </w:pPr>
    </w:p>
    <w:p w:rsidR="00670265" w:rsidRDefault="00670265" w:rsidP="00944A0A">
      <w:pPr>
        <w:rPr>
          <w:rFonts w:eastAsia="Arial" w:cs="Times New Roman"/>
          <w:b/>
          <w:sz w:val="28"/>
          <w:szCs w:val="28"/>
        </w:rPr>
      </w:pPr>
    </w:p>
    <w:p w:rsidR="00670265" w:rsidRPr="00F33B8D" w:rsidRDefault="00944A0A" w:rsidP="00670265">
      <w:pPr>
        <w:rPr>
          <w:rFonts w:eastAsia="PMingLiU" w:cs="Times New Roman"/>
          <w:sz w:val="20"/>
          <w:szCs w:val="20"/>
        </w:rPr>
      </w:pPr>
      <w:proofErr w:type="spellStart"/>
      <w:r w:rsidRPr="004504EB">
        <w:rPr>
          <w:rFonts w:eastAsia="Arial" w:cs="Times New Roman"/>
          <w:b/>
          <w:sz w:val="28"/>
          <w:szCs w:val="28"/>
          <w:highlight w:val="green"/>
        </w:rPr>
        <w:t>ACQol</w:t>
      </w:r>
      <w:proofErr w:type="spellEnd"/>
      <w:r w:rsidRPr="004504EB">
        <w:rPr>
          <w:rFonts w:eastAsia="Arial" w:cs="Times New Roman"/>
          <w:b/>
          <w:sz w:val="28"/>
          <w:szCs w:val="28"/>
          <w:highlight w:val="green"/>
        </w:rPr>
        <w:t xml:space="preserve"> Bulletin Vol 3/</w:t>
      </w:r>
      <w:r w:rsidR="00670265" w:rsidRPr="004504EB">
        <w:rPr>
          <w:rFonts w:eastAsia="Arial" w:cs="Times New Roman"/>
          <w:b/>
          <w:sz w:val="28"/>
          <w:szCs w:val="28"/>
          <w:highlight w:val="green"/>
        </w:rPr>
        <w:t>39</w:t>
      </w:r>
      <w:r w:rsidRPr="004504EB">
        <w:rPr>
          <w:rFonts w:eastAsia="Arial" w:cs="Times New Roman"/>
          <w:b/>
          <w:sz w:val="28"/>
          <w:szCs w:val="28"/>
          <w:highlight w:val="green"/>
        </w:rPr>
        <w:t xml:space="preserve">: </w:t>
      </w:r>
      <w:r w:rsidR="00670265" w:rsidRPr="004504EB">
        <w:rPr>
          <w:rFonts w:eastAsia="Arial" w:cs="Times New Roman"/>
          <w:b/>
          <w:sz w:val="28"/>
          <w:szCs w:val="28"/>
          <w:highlight w:val="green"/>
        </w:rPr>
        <w:t>260919</w:t>
      </w:r>
      <w:r w:rsidRPr="00BB5D46">
        <w:rPr>
          <w:rFonts w:eastAsia="Arial" w:cs="Times New Roman"/>
          <w:b/>
          <w:sz w:val="28"/>
          <w:szCs w:val="28"/>
        </w:rPr>
        <w:t xml:space="preserve"> </w:t>
      </w:r>
    </w:p>
    <w:p w:rsidR="00944A0A" w:rsidRPr="00BB5D46" w:rsidRDefault="00944A0A" w:rsidP="00944A0A">
      <w:pPr>
        <w:rPr>
          <w:rFonts w:eastAsia="Arial" w:cs="Times New Roman"/>
          <w:b/>
          <w:sz w:val="28"/>
          <w:szCs w:val="28"/>
        </w:rPr>
      </w:pPr>
      <w:r w:rsidRPr="00BB5D46">
        <w:rPr>
          <w:rFonts w:eastAsia="Arial" w:cs="Times New Roman"/>
          <w:b/>
          <w:sz w:val="28"/>
          <w:szCs w:val="28"/>
        </w:rPr>
        <w:t>Bulletin of the Australian Centre on Quality of Life</w:t>
      </w:r>
    </w:p>
    <w:p w:rsidR="00944A0A" w:rsidRPr="00BB5D46" w:rsidRDefault="00DF3874" w:rsidP="00944A0A">
      <w:pPr>
        <w:rPr>
          <w:rFonts w:eastAsia="Arial" w:cs="Times New Roman"/>
        </w:rPr>
      </w:pPr>
      <w:hyperlink r:id="rId7" w:history="1">
        <w:r w:rsidR="00944A0A" w:rsidRPr="00BB5D46">
          <w:rPr>
            <w:rFonts w:eastAsia="Arial" w:cs="Times New Roman"/>
            <w:color w:val="0563C1"/>
            <w:u w:val="single"/>
          </w:rPr>
          <w:t>http://www.acqol.com.au/</w:t>
        </w:r>
      </w:hyperlink>
    </w:p>
    <w:p w:rsidR="00944A0A" w:rsidRPr="00AE19B8" w:rsidRDefault="00944A0A" w:rsidP="00944A0A">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944A0A" w:rsidRPr="00BB5D46" w:rsidRDefault="00944A0A" w:rsidP="00944A0A">
      <w:pPr>
        <w:rPr>
          <w:rFonts w:eastAsia="Arial" w:cs="Times New Roman"/>
          <w:b/>
        </w:rPr>
      </w:pPr>
      <w:r w:rsidRPr="00BB5D46">
        <w:rPr>
          <w:rFonts w:eastAsia="Arial" w:cs="Times New Roman"/>
          <w:b/>
        </w:rPr>
        <w:t xml:space="preserve">Back-issues of the Bulletin are available at </w:t>
      </w:r>
      <w:hyperlink r:id="rId8" w:anchor="bulletins" w:history="1">
        <w:r w:rsidRPr="00BB5D46">
          <w:rPr>
            <w:rFonts w:eastAsia="Arial" w:cs="Times New Roman"/>
            <w:color w:val="0563C1"/>
            <w:u w:val="single"/>
          </w:rPr>
          <w:t>http://www.acqol.com.au/projects#bulletins</w:t>
        </w:r>
      </w:hyperlink>
    </w:p>
    <w:p w:rsidR="00944A0A" w:rsidRPr="00BB5D46" w:rsidRDefault="00944A0A" w:rsidP="00944A0A">
      <w:pPr>
        <w:rPr>
          <w:rFonts w:eastAsia="Arial" w:cs="Times New Roman"/>
          <w:color w:val="0563C1"/>
          <w:u w:val="single"/>
        </w:rPr>
      </w:pPr>
    </w:p>
    <w:p w:rsidR="00944A0A" w:rsidRPr="00BB5D46" w:rsidRDefault="00944A0A" w:rsidP="00944A0A">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944A0A" w:rsidRDefault="00944A0A" w:rsidP="00944A0A">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944A0A" w:rsidRDefault="00944A0A" w:rsidP="00944A0A">
      <w:pPr>
        <w:rPr>
          <w:rFonts w:eastAsia="Arial" w:cs="Times New Roman"/>
        </w:rPr>
      </w:pPr>
    </w:p>
    <w:p w:rsidR="00944A0A" w:rsidRPr="00BB5D46" w:rsidRDefault="00944A0A" w:rsidP="00944A0A">
      <w:pPr>
        <w:jc w:val="center"/>
        <w:rPr>
          <w:rFonts w:eastAsia="Arial" w:cs="Times New Roman"/>
          <w:b/>
          <w:sz w:val="32"/>
          <w:szCs w:val="32"/>
        </w:rPr>
      </w:pPr>
      <w:r w:rsidRPr="00BB5D46">
        <w:rPr>
          <w:rFonts w:eastAsia="Arial" w:cs="Times New Roman"/>
          <w:b/>
          <w:sz w:val="32"/>
          <w:szCs w:val="32"/>
        </w:rPr>
        <w:t>Paper for private study</w:t>
      </w:r>
    </w:p>
    <w:p w:rsidR="00944A0A" w:rsidRDefault="00944A0A" w:rsidP="00944A0A">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8C56BE" w:rsidRDefault="008C56BE" w:rsidP="00944A0A">
      <w:pPr>
        <w:jc w:val="center"/>
        <w:rPr>
          <w:rFonts w:eastAsia="Arial" w:cs="Times New Roman"/>
        </w:rPr>
      </w:pPr>
    </w:p>
    <w:p w:rsidR="008C56BE" w:rsidRPr="00BB5D46" w:rsidRDefault="008C56BE" w:rsidP="008C56BE">
      <w:pPr>
        <w:jc w:val="center"/>
        <w:rPr>
          <w:rFonts w:eastAsia="Arial" w:cs="Times New Roman"/>
          <w:b/>
          <w:sz w:val="32"/>
          <w:szCs w:val="32"/>
        </w:rPr>
      </w:pPr>
      <w:r>
        <w:rPr>
          <w:rFonts w:eastAsia="Arial" w:cs="Times New Roman"/>
          <w:b/>
          <w:sz w:val="32"/>
          <w:szCs w:val="32"/>
        </w:rPr>
        <w:t>Continued discussion from last week</w:t>
      </w:r>
    </w:p>
    <w:p w:rsidR="00944A0A" w:rsidRDefault="00944A0A" w:rsidP="00944A0A">
      <w:pPr>
        <w:rPr>
          <w:rFonts w:eastAsia="Arial" w:cs="Times New Roman"/>
        </w:rPr>
      </w:pPr>
    </w:p>
    <w:p w:rsidR="00944A0A" w:rsidRDefault="00944A0A" w:rsidP="00944A0A">
      <w:pPr>
        <w:rPr>
          <w:rFonts w:eastAsia="Arial" w:cs="Times New Roman"/>
        </w:rPr>
      </w:pPr>
      <w:r w:rsidRPr="00BB5D46">
        <w:rPr>
          <w:rFonts w:eastAsia="Arial" w:cs="Times New Roman"/>
          <w:highlight w:val="cyan"/>
        </w:rPr>
        <w:t>[copied into Pandect – NO]</w:t>
      </w:r>
    </w:p>
    <w:p w:rsidR="008C56BE" w:rsidRPr="007E4889" w:rsidRDefault="007608B1" w:rsidP="008C56BE">
      <w:pPr>
        <w:rPr>
          <w:rFonts w:ascii="Calibri" w:eastAsia="Calibri" w:hAnsi="Calibri" w:cs="Calibri"/>
          <w:color w:val="365F91"/>
          <w:sz w:val="22"/>
          <w:szCs w:val="22"/>
          <w:lang w:eastAsia="en-AU"/>
        </w:rPr>
      </w:pPr>
      <w:r>
        <w:rPr>
          <w:rFonts w:eastAsia="Arial" w:cs="Times New Roman"/>
        </w:rPr>
        <w:t>I</w:t>
      </w:r>
      <w:r w:rsidR="008C56BE">
        <w:rPr>
          <w:rFonts w:eastAsia="Arial" w:cs="Times New Roman"/>
        </w:rPr>
        <w:t xml:space="preserve">n response to last weeks’ </w:t>
      </w:r>
      <w:r w:rsidR="008C56BE" w:rsidRPr="007E4889">
        <w:rPr>
          <w:rFonts w:eastAsia="Arial" w:cs="Times New Roman"/>
        </w:rPr>
        <w:t>Bulletin 3/38</w:t>
      </w:r>
      <w:r w:rsidR="008C56BE">
        <w:rPr>
          <w:rFonts w:eastAsia="Arial" w:cs="Times New Roman"/>
        </w:rPr>
        <w:t xml:space="preserve"> on happiness, </w:t>
      </w:r>
      <w:r w:rsidR="008C56BE" w:rsidRPr="007E4889">
        <w:rPr>
          <w:rFonts w:eastAsia="Arial" w:cs="Times New Roman"/>
        </w:rPr>
        <w:t xml:space="preserve">Tony Ward </w:t>
      </w:r>
      <w:hyperlink r:id="rId9" w:history="1">
        <w:r w:rsidR="008C56BE" w:rsidRPr="00C21799">
          <w:rPr>
            <w:rStyle w:val="Hyperlink"/>
            <w:rFonts w:eastAsia="Arial" w:cs="Times New Roman"/>
          </w:rPr>
          <w:t>tonyward@bigpond.net.au</w:t>
        </w:r>
      </w:hyperlink>
      <w:r w:rsidR="008C56BE">
        <w:rPr>
          <w:rFonts w:eastAsia="Arial" w:cs="Times New Roman"/>
        </w:rPr>
        <w:t xml:space="preserve"> has reminded us that “</w:t>
      </w:r>
      <w:r w:rsidR="008C56BE" w:rsidRPr="007E4889">
        <w:rPr>
          <w:rFonts w:ascii="Calibri" w:eastAsia="Calibri" w:hAnsi="Calibri" w:cs="Calibri"/>
          <w:color w:val="1F497D"/>
          <w:sz w:val="22"/>
          <w:szCs w:val="22"/>
          <w:lang w:eastAsia="en-AU"/>
        </w:rPr>
        <w:t>While children’s happiness may have only become a widespread goal in the mid to late 19</w:t>
      </w:r>
      <w:r w:rsidR="008C56BE" w:rsidRPr="007E4889">
        <w:rPr>
          <w:rFonts w:ascii="Calibri" w:eastAsia="Calibri" w:hAnsi="Calibri" w:cs="Calibri"/>
          <w:color w:val="1F497D"/>
          <w:sz w:val="22"/>
          <w:szCs w:val="22"/>
          <w:vertAlign w:val="superscript"/>
          <w:lang w:eastAsia="en-AU"/>
        </w:rPr>
        <w:t>th</w:t>
      </w:r>
      <w:r w:rsidR="008C56BE" w:rsidRPr="007E4889">
        <w:rPr>
          <w:rFonts w:ascii="Calibri" w:eastAsia="Calibri" w:hAnsi="Calibri" w:cs="Calibri"/>
          <w:color w:val="1F497D"/>
          <w:sz w:val="22"/>
          <w:szCs w:val="22"/>
          <w:lang w:eastAsia="en-AU"/>
        </w:rPr>
        <w:t xml:space="preserve"> century, as the article argues, I sh</w:t>
      </w:r>
      <w:r w:rsidR="008C56BE">
        <w:rPr>
          <w:rFonts w:ascii="Calibri" w:eastAsia="Calibri" w:hAnsi="Calibri" w:cs="Calibri"/>
          <w:color w:val="1F497D"/>
          <w:sz w:val="22"/>
          <w:szCs w:val="22"/>
          <w:lang w:eastAsia="en-AU"/>
        </w:rPr>
        <w:t>o</w:t>
      </w:r>
      <w:r w:rsidR="008C56BE" w:rsidRPr="007E4889">
        <w:rPr>
          <w:rFonts w:ascii="Calibri" w:eastAsia="Calibri" w:hAnsi="Calibri" w:cs="Calibri"/>
          <w:color w:val="1F497D"/>
          <w:sz w:val="22"/>
          <w:szCs w:val="22"/>
          <w:lang w:eastAsia="en-AU"/>
        </w:rPr>
        <w:t>uld note that the famous second sentence of the 1776 US Declaration of Independence reads</w:t>
      </w:r>
      <w:r w:rsidR="008C56BE">
        <w:rPr>
          <w:rFonts w:ascii="Calibri" w:eastAsia="Calibri" w:hAnsi="Calibri" w:cs="Calibri"/>
          <w:color w:val="1F497D"/>
          <w:sz w:val="22"/>
          <w:szCs w:val="22"/>
          <w:lang w:eastAsia="en-AU"/>
        </w:rPr>
        <w:t>:</w:t>
      </w:r>
    </w:p>
    <w:p w:rsidR="008C56BE" w:rsidRPr="007E4889" w:rsidRDefault="008C56BE" w:rsidP="008C56BE">
      <w:pPr>
        <w:rPr>
          <w:rFonts w:ascii="Calibri" w:eastAsia="Calibri" w:hAnsi="Calibri" w:cs="Calibri"/>
          <w:color w:val="365F91"/>
          <w:sz w:val="22"/>
          <w:szCs w:val="22"/>
          <w:shd w:val="clear" w:color="auto" w:fill="FFFFFF"/>
          <w:lang w:eastAsia="en-AU"/>
        </w:rPr>
      </w:pPr>
      <w:r w:rsidRPr="007E4889">
        <w:rPr>
          <w:rFonts w:ascii="Calibri" w:eastAsia="Calibri" w:hAnsi="Calibri" w:cs="Calibri"/>
          <w:i/>
          <w:color w:val="365F91"/>
          <w:sz w:val="22"/>
          <w:szCs w:val="22"/>
          <w:shd w:val="clear" w:color="auto" w:fill="FFFFFF"/>
          <w:lang w:eastAsia="en-AU"/>
        </w:rPr>
        <w:t>‘We hold these truths to be self-evident, that all men are created equal, that they are endowed by their Creator with certain unalienable Rights, that among these are Life, Liberty and the pursuit of Happiness’</w:t>
      </w:r>
      <w:r>
        <w:rPr>
          <w:rFonts w:ascii="Calibri" w:eastAsia="Calibri" w:hAnsi="Calibri" w:cs="Calibri"/>
          <w:i/>
          <w:color w:val="365F91"/>
          <w:sz w:val="22"/>
          <w:szCs w:val="22"/>
          <w:shd w:val="clear" w:color="auto" w:fill="FFFFFF"/>
          <w:lang w:eastAsia="en-AU"/>
        </w:rPr>
        <w:t xml:space="preserve"> </w:t>
      </w:r>
      <w:r>
        <w:rPr>
          <w:rFonts w:ascii="Calibri" w:eastAsia="Calibri" w:hAnsi="Calibri" w:cs="Calibri"/>
          <w:i/>
          <w:color w:val="365F91"/>
          <w:sz w:val="22"/>
          <w:szCs w:val="22"/>
          <w:shd w:val="clear" w:color="auto" w:fill="FFFFFF"/>
          <w:lang w:eastAsia="en-AU"/>
        </w:rPr>
        <w:fldChar w:fldCharType="begin"/>
      </w:r>
      <w:r>
        <w:rPr>
          <w:rFonts w:ascii="Calibri" w:eastAsia="Calibri" w:hAnsi="Calibri" w:cs="Calibri"/>
          <w:i/>
          <w:color w:val="365F91"/>
          <w:sz w:val="22"/>
          <w:szCs w:val="22"/>
          <w:shd w:val="clear" w:color="auto" w:fill="FFFFFF"/>
          <w:lang w:eastAsia="en-AU"/>
        </w:rPr>
        <w:instrText xml:space="preserve"> ADDIN EN.CITE &lt;EndNote&gt;&lt;Cite&gt;&lt;Author&gt;Jefferson&lt;/Author&gt;&lt;Year&gt;1776&lt;/Year&gt;&lt;RecNum&gt;2341&lt;/RecNum&gt;&lt;DisplayText&gt;(Jefferson, 1776)&lt;/DisplayText&gt;&lt;record&gt;&lt;rec-number&gt;2341&lt;/rec-number&gt;&lt;foreign-keys&gt;&lt;key app="EN" db-id="z2xarpe9cfrvp4ezdxk5ddx9dsrzr05f22sa" timestamp="1451621183"&gt;2341&lt;/key&gt;&lt;/foreign-keys&gt;&lt;ref-type name="Book"&gt;6&lt;/ref-type&gt;&lt;contributors&gt;&lt;authors&gt;&lt;author&gt;Jefferson, T.&lt;/author&gt;&lt;/authors&gt;&lt;/contributors&gt;&lt;titles&gt;&lt;title&gt;United States Declaration of Independence&lt;/title&gt;&lt;/titles&gt;&lt;dates&gt;&lt;year&gt;1776&lt;/year&gt;&lt;/dates&gt;&lt;pub-location&gt;Philadelphia&lt;/pub-location&gt;&lt;publisher&gt;John Dunlap&lt;/publisher&gt;&lt;urls&gt;&lt;/urls&gt;&lt;/record&gt;&lt;/Cite&gt;&lt;/EndNote&gt;</w:instrText>
      </w:r>
      <w:r>
        <w:rPr>
          <w:rFonts w:ascii="Calibri" w:eastAsia="Calibri" w:hAnsi="Calibri" w:cs="Calibri"/>
          <w:i/>
          <w:color w:val="365F91"/>
          <w:sz w:val="22"/>
          <w:szCs w:val="22"/>
          <w:shd w:val="clear" w:color="auto" w:fill="FFFFFF"/>
          <w:lang w:eastAsia="en-AU"/>
        </w:rPr>
        <w:fldChar w:fldCharType="separate"/>
      </w:r>
      <w:r>
        <w:rPr>
          <w:rFonts w:ascii="Calibri" w:eastAsia="Calibri" w:hAnsi="Calibri" w:cs="Calibri"/>
          <w:i/>
          <w:noProof/>
          <w:color w:val="365F91"/>
          <w:sz w:val="22"/>
          <w:szCs w:val="22"/>
          <w:shd w:val="clear" w:color="auto" w:fill="FFFFFF"/>
          <w:lang w:eastAsia="en-AU"/>
        </w:rPr>
        <w:t>(Jefferson, 1776)</w:t>
      </w:r>
      <w:r>
        <w:rPr>
          <w:rFonts w:ascii="Calibri" w:eastAsia="Calibri" w:hAnsi="Calibri" w:cs="Calibri"/>
          <w:i/>
          <w:color w:val="365F91"/>
          <w:sz w:val="22"/>
          <w:szCs w:val="22"/>
          <w:shd w:val="clear" w:color="auto" w:fill="FFFFFF"/>
          <w:lang w:eastAsia="en-AU"/>
        </w:rPr>
        <w:fldChar w:fldCharType="end"/>
      </w:r>
      <w:r w:rsidRPr="007E4889">
        <w:rPr>
          <w:rFonts w:ascii="Calibri" w:eastAsia="Calibri" w:hAnsi="Calibri" w:cs="Calibri"/>
          <w:color w:val="365F91"/>
          <w:sz w:val="22"/>
          <w:szCs w:val="22"/>
          <w:shd w:val="clear" w:color="auto" w:fill="FFFFFF"/>
          <w:lang w:eastAsia="en-AU"/>
        </w:rPr>
        <w:t>.</w:t>
      </w:r>
      <w:r>
        <w:rPr>
          <w:rFonts w:ascii="Calibri" w:eastAsia="Calibri" w:hAnsi="Calibri" w:cs="Calibri"/>
          <w:color w:val="365F91"/>
          <w:sz w:val="22"/>
          <w:szCs w:val="22"/>
          <w:shd w:val="clear" w:color="auto" w:fill="FFFFFF"/>
          <w:lang w:eastAsia="en-AU"/>
        </w:rPr>
        <w:t xml:space="preserve"> </w:t>
      </w:r>
      <w:r w:rsidRPr="007E4889">
        <w:rPr>
          <w:rFonts w:ascii="Calibri" w:eastAsia="Calibri" w:hAnsi="Calibri" w:cs="Calibri"/>
          <w:color w:val="365F91"/>
          <w:sz w:val="22"/>
          <w:szCs w:val="22"/>
          <w:shd w:val="clear" w:color="auto" w:fill="FFFFFF"/>
          <w:lang w:eastAsia="en-AU"/>
        </w:rPr>
        <w:t>So general happiness was certainly an important goal a century earlier</w:t>
      </w:r>
      <w:r>
        <w:rPr>
          <w:rFonts w:ascii="Calibri" w:eastAsia="Calibri" w:hAnsi="Calibri" w:cs="Calibri"/>
          <w:color w:val="365F91"/>
          <w:sz w:val="22"/>
          <w:szCs w:val="22"/>
          <w:shd w:val="clear" w:color="auto" w:fill="FFFFFF"/>
          <w:lang w:eastAsia="en-AU"/>
        </w:rPr>
        <w:t>.”</w:t>
      </w:r>
    </w:p>
    <w:p w:rsidR="008C56BE" w:rsidRDefault="008C56BE" w:rsidP="008C56BE">
      <w:pPr>
        <w:rPr>
          <w:rFonts w:eastAsia="Arial" w:cs="Times New Roman"/>
        </w:rPr>
      </w:pPr>
    </w:p>
    <w:p w:rsidR="008C56BE" w:rsidRDefault="008C56BE" w:rsidP="008C56BE">
      <w:pPr>
        <w:rPr>
          <w:rFonts w:eastAsia="Arial" w:cs="Times New Roman"/>
        </w:rPr>
      </w:pPr>
      <w:r>
        <w:rPr>
          <w:rFonts w:eastAsia="Arial" w:cs="Times New Roman"/>
        </w:rPr>
        <w:t xml:space="preserve">A nice point to make, which directs attention to what meaning Jefferson intended to convey by using the word. The attached paper </w:t>
      </w:r>
      <w:r>
        <w:rPr>
          <w:rFonts w:eastAsia="Arial" w:cs="Times New Roman"/>
        </w:rPr>
        <w:fldChar w:fldCharType="begin"/>
      </w:r>
      <w:r>
        <w:rPr>
          <w:rFonts w:eastAsia="Arial" w:cs="Times New Roman"/>
        </w:rPr>
        <w:instrText xml:space="preserve"> ADDIN EN.CITE &lt;EndNote&gt;&lt;Cite&gt;&lt;Author&gt;Shannon&lt;/Author&gt;&lt;Year&gt;2016&lt;/Year&gt;&lt;RecNum&gt;3941&lt;/RecNum&gt;&lt;DisplayText&gt;(Shannon, 2016)&lt;/DisplayText&gt;&lt;record&gt;&lt;rec-number&gt;3941&lt;/rec-number&gt;&lt;foreign-keys&gt;&lt;key app="EN" db-id="z2xarpe9cfrvp4ezdxk5ddx9dsrzr05f22sa" timestamp="1569045569"&gt;3941&lt;/key&gt;&lt;/foreign-keys&gt;&lt;ref-type name="Book"&gt;6&lt;/ref-type&gt;&lt;contributors&gt;&lt;authors&gt;&lt;author&gt;Shannon, T. J.&lt;/author&gt;&lt;/authors&gt;&lt;/contributors&gt;&lt;titles&gt;&lt;title&gt;What About That Pursuit of Happiness?&lt;/title&gt;&lt;/titles&gt;&lt;dates&gt;&lt;year&gt;2016&lt;/year&gt;&lt;/dates&gt;&lt;pub-location&gt;Gettysburg &lt;/pub-location&gt;&lt;publisher&gt;Gettysburg College https://cupola.gettysburg.edu/cgi/viewcontent.cgi?referer=https://en.wikipedia.org/&amp;#xD;&amp;amp;httpsredir=1&amp;amp;article=1074&amp;amp;context=histfac&lt;/publisher&gt;&lt;urls&gt;&lt;/urls&gt;&lt;/record&gt;&lt;/Cite&gt;&lt;/EndNote&gt;</w:instrText>
      </w:r>
      <w:r>
        <w:rPr>
          <w:rFonts w:eastAsia="Arial" w:cs="Times New Roman"/>
        </w:rPr>
        <w:fldChar w:fldCharType="separate"/>
      </w:r>
      <w:r>
        <w:rPr>
          <w:rFonts w:eastAsia="Arial" w:cs="Times New Roman"/>
          <w:noProof/>
        </w:rPr>
        <w:t>(Shannon, 2016)</w:t>
      </w:r>
      <w:r>
        <w:rPr>
          <w:rFonts w:eastAsia="Arial" w:cs="Times New Roman"/>
        </w:rPr>
        <w:fldChar w:fldCharType="end"/>
      </w:r>
      <w:r>
        <w:rPr>
          <w:rFonts w:eastAsia="Arial" w:cs="Times New Roman"/>
        </w:rPr>
        <w:t xml:space="preserve"> nicely covers this issue. In summary of Shannon, Jefferson’s ‘happiness’ had a quite different meaning from the term today. His happiness:</w:t>
      </w:r>
    </w:p>
    <w:p w:rsidR="008C56BE" w:rsidRPr="00357B1C" w:rsidRDefault="008C56BE" w:rsidP="008C56BE">
      <w:pPr>
        <w:rPr>
          <w:rFonts w:eastAsia="Arial" w:cs="Times New Roman"/>
          <w:i/>
        </w:rPr>
      </w:pPr>
      <w:r w:rsidRPr="00357B1C">
        <w:rPr>
          <w:rFonts w:eastAsia="Arial" w:cs="Times New Roman"/>
          <w:i/>
        </w:rPr>
        <w:t xml:space="preserve">“had its roots in humankind's inherent capacity for reason and desire for material security. Reason … was the means by which people pursued individual and collective improvement. The "Creator" gave humans reason because he wanted them to be happy. </w:t>
      </w:r>
    </w:p>
    <w:p w:rsidR="008C56BE" w:rsidRPr="00357B1C" w:rsidRDefault="008C56BE" w:rsidP="008C56BE">
      <w:pPr>
        <w:rPr>
          <w:rFonts w:eastAsia="Arial" w:cs="Times New Roman"/>
          <w:i/>
        </w:rPr>
      </w:pPr>
    </w:p>
    <w:p w:rsidR="008C56BE" w:rsidRPr="00357B1C" w:rsidRDefault="008C56BE" w:rsidP="008C56BE">
      <w:pPr>
        <w:rPr>
          <w:rFonts w:eastAsia="Arial" w:cs="Times New Roman"/>
          <w:i/>
        </w:rPr>
      </w:pPr>
      <w:r w:rsidRPr="00357B1C">
        <w:rPr>
          <w:rFonts w:eastAsia="Arial" w:cs="Times New Roman"/>
          <w:i/>
        </w:rPr>
        <w:t>In Jefferson's world, reasonable people pursued happiness by migrating from poverty and deprivation in the Old World to the natural bounty of the New. They pursued happiness by adopting new techniques that improved crop yields and livestock breeding. They built ships, roads, and canals that opened new markets and sped commerce.</w:t>
      </w:r>
    </w:p>
    <w:p w:rsidR="008C56BE" w:rsidRPr="00357B1C" w:rsidRDefault="008C56BE" w:rsidP="008C56BE">
      <w:pPr>
        <w:rPr>
          <w:rFonts w:eastAsia="Arial" w:cs="Times New Roman"/>
          <w:i/>
        </w:rPr>
      </w:pPr>
    </w:p>
    <w:p w:rsidR="008C56BE" w:rsidRDefault="008C56BE" w:rsidP="008C56BE">
      <w:pPr>
        <w:rPr>
          <w:rFonts w:eastAsia="Arial" w:cs="Times New Roman"/>
        </w:rPr>
      </w:pPr>
      <w:r w:rsidRPr="00357B1C">
        <w:rPr>
          <w:rFonts w:eastAsia="Arial" w:cs="Times New Roman"/>
          <w:i/>
        </w:rPr>
        <w:t xml:space="preserve">Happiness meant being able to provide for your family without fear of famine, incessant warfare, or an exploitive aristocracy. In his essay "Information to Those Who Would Remove to America," Franklin called this condition a "general happy mediocrity." Today, we call it a </w:t>
      </w:r>
      <w:r w:rsidRPr="00357B1C">
        <w:rPr>
          <w:rFonts w:eastAsia="Arial" w:cs="Times New Roman"/>
          <w:i/>
        </w:rPr>
        <w:lastRenderedPageBreak/>
        <w:t>stable, middle-class society, where people who work hard can reasonably expect freedom and prosperity for themselves and their children”</w:t>
      </w:r>
      <w:r w:rsidRPr="00ED4C3F">
        <w:rPr>
          <w:rFonts w:eastAsia="Arial" w:cs="Times New Roman"/>
        </w:rPr>
        <w:t>.</w:t>
      </w:r>
    </w:p>
    <w:p w:rsidR="008C56BE" w:rsidRDefault="008C56BE" w:rsidP="008C56BE">
      <w:pPr>
        <w:rPr>
          <w:rFonts w:eastAsia="Arial" w:cs="Times New Roman"/>
        </w:rPr>
      </w:pPr>
    </w:p>
    <w:p w:rsidR="008C56BE" w:rsidRDefault="008C56BE" w:rsidP="008C56BE">
      <w:pPr>
        <w:rPr>
          <w:rFonts w:eastAsia="Arial" w:cs="Times New Roman"/>
        </w:rPr>
      </w:pPr>
      <w:r>
        <w:rPr>
          <w:rFonts w:eastAsia="Arial" w:cs="Times New Roman"/>
        </w:rPr>
        <w:t>What is particularly fascinating in this account is Jefferson’s description of ‘happiness’ as ‘</w:t>
      </w:r>
      <w:r w:rsidRPr="00357B1C">
        <w:rPr>
          <w:rFonts w:eastAsia="Arial" w:cs="Times New Roman"/>
          <w:i/>
        </w:rPr>
        <w:t>general happy mediocrity</w:t>
      </w:r>
      <w:r>
        <w:rPr>
          <w:rFonts w:eastAsia="Arial" w:cs="Times New Roman"/>
          <w:i/>
        </w:rPr>
        <w:t>”.</w:t>
      </w:r>
      <w:r>
        <w:rPr>
          <w:rFonts w:eastAsia="Arial" w:cs="Times New Roman"/>
        </w:rPr>
        <w:t xml:space="preserve"> This, in fact, is surprisingly close to our current conception of Homeostatically Protected Mood (see below).</w:t>
      </w:r>
    </w:p>
    <w:p w:rsidR="008C56BE" w:rsidRDefault="008C56BE" w:rsidP="008C56BE">
      <w:pPr>
        <w:rPr>
          <w:rFonts w:eastAsia="Arial" w:cs="Times New Roman"/>
        </w:rPr>
      </w:pPr>
    </w:p>
    <w:p w:rsidR="008C56BE" w:rsidRPr="00CD652C" w:rsidRDefault="008C56BE" w:rsidP="008C56BE">
      <w:pPr>
        <w:rPr>
          <w:rFonts w:eastAsia="Arial" w:cs="Times New Roman"/>
        </w:rPr>
      </w:pPr>
      <w:r>
        <w:rPr>
          <w:rFonts w:eastAsia="Arial" w:cs="Times New Roman"/>
        </w:rPr>
        <w:t xml:space="preserve">However, Jefferson was not alone in his use of ‘happiness’ in 1776. In that same year </w:t>
      </w:r>
      <w:r w:rsidRPr="00CD652C">
        <w:rPr>
          <w:rFonts w:eastAsia="Arial" w:cs="Times New Roman"/>
        </w:rPr>
        <w:t>the</w:t>
      </w:r>
      <w:r>
        <w:rPr>
          <w:rFonts w:eastAsia="Arial" w:cs="Times New Roman"/>
        </w:rPr>
        <w:t xml:space="preserve"> </w:t>
      </w:r>
      <w:r w:rsidRPr="00CD652C">
        <w:rPr>
          <w:rFonts w:eastAsia="Arial" w:cs="Times New Roman"/>
        </w:rPr>
        <w:t>Scottish philosopher Smith (1776) and</w:t>
      </w:r>
      <w:r>
        <w:rPr>
          <w:rFonts w:eastAsia="Arial" w:cs="Times New Roman"/>
        </w:rPr>
        <w:t>, later,</w:t>
      </w:r>
      <w:r w:rsidRPr="00CD652C">
        <w:rPr>
          <w:rFonts w:eastAsia="Arial" w:cs="Times New Roman"/>
        </w:rPr>
        <w:t xml:space="preserve"> the English philosopher (Bentham 1780, 1789)</w:t>
      </w:r>
    </w:p>
    <w:p w:rsidR="008C56BE" w:rsidRDefault="008C56BE" w:rsidP="008C56BE">
      <w:pPr>
        <w:rPr>
          <w:rFonts w:eastAsia="Arial" w:cs="Times New Roman"/>
        </w:rPr>
      </w:pPr>
      <w:r w:rsidRPr="00CD652C">
        <w:rPr>
          <w:rFonts w:eastAsia="Arial" w:cs="Times New Roman"/>
        </w:rPr>
        <w:t>created the origin of economics as a discipline</w:t>
      </w:r>
      <w:r>
        <w:rPr>
          <w:rFonts w:eastAsia="Arial" w:cs="Times New Roman"/>
        </w:rPr>
        <w:t xml:space="preserve"> </w:t>
      </w:r>
      <w:r>
        <w:rPr>
          <w:rFonts w:eastAsia="Arial" w:cs="Times New Roman"/>
        </w:rPr>
        <w:fldChar w:fldCharType="begin"/>
      </w:r>
      <w:r>
        <w:rPr>
          <w:rFonts w:eastAsia="Arial" w:cs="Times New Roman"/>
        </w:rPr>
        <w:instrText xml:space="preserve"> ADDIN EN.CITE &lt;EndNote&gt;&lt;Cite&gt;&lt;Author&gt;Cummins&lt;/Author&gt;&lt;Year&gt;2019b&lt;/Year&gt;&lt;RecNum&gt;3471&lt;/RecNum&gt;&lt;Prefix&gt;for an expansion on Bentham see  &lt;/Prefix&gt;&lt;DisplayText&gt;(for an expansion on Bentham see  Cummins, 2019b)&lt;/DisplayText&gt;&lt;record&gt;&lt;rec-number&gt;3471&lt;/rec-number&gt;&lt;foreign-keys&gt;&lt;key app="EN" db-id="z2xarpe9cfrvp4ezdxk5ddx9dsrzr05f22sa" timestamp="1522476350"&gt;3471&lt;/key&gt;&lt;/foreign-keys&gt;&lt;ref-type name="Book Section"&gt;5&lt;/ref-type&gt;&lt;contributors&gt;&lt;authors&gt;&lt;author&gt;Cummins, R. A.&lt;/author&gt;&lt;/authors&gt;&lt;secondary-authors&gt;&lt;author&gt;Brulé, G.&lt;/author&gt;&lt;author&gt;Suter, C.&lt;/author&gt;&lt;/secondary-authors&gt;&lt;/contributors&gt;&lt;titles&gt;&lt;title&gt;Jeromy Bentham, Utility, and the Golden Triangle of Happiness&lt;/title&gt;&lt;secondary-title&gt;Wealth(s) and Subjective Well-Being. Social Indicators Research Series, vol 76.&lt;/secondary-title&gt;&lt;/titles&gt;&lt;pages&gt;67-83&lt;/pages&gt;&lt;dates&gt;&lt;year&gt;2019b&lt;/year&gt;&lt;/dates&gt;&lt;pub-location&gt;Cham&lt;/pub-location&gt;&lt;publisher&gt;Springer https://rd.springer.com/book/10.1007%2F978-3-030-05535-6#toc&lt;/publisher&gt;&lt;urls&gt;&lt;/urls&gt;&lt;/record&gt;&lt;/Cite&gt;&lt;/EndNote&gt;</w:instrText>
      </w:r>
      <w:r>
        <w:rPr>
          <w:rFonts w:eastAsia="Arial" w:cs="Times New Roman"/>
        </w:rPr>
        <w:fldChar w:fldCharType="separate"/>
      </w:r>
      <w:r>
        <w:rPr>
          <w:rFonts w:eastAsia="Arial" w:cs="Times New Roman"/>
          <w:noProof/>
        </w:rPr>
        <w:t>(for an expansion on Bentham see  Cummins, 2019b)</w:t>
      </w:r>
      <w:r>
        <w:rPr>
          <w:rFonts w:eastAsia="Arial" w:cs="Times New Roman"/>
        </w:rPr>
        <w:fldChar w:fldCharType="end"/>
      </w:r>
      <w:r w:rsidRPr="00CD652C">
        <w:rPr>
          <w:rFonts w:eastAsia="Arial" w:cs="Times New Roman"/>
        </w:rPr>
        <w:t>. In the absence of empirical data, the</w:t>
      </w:r>
      <w:r>
        <w:rPr>
          <w:rFonts w:eastAsia="Arial" w:cs="Times New Roman"/>
        </w:rPr>
        <w:t xml:space="preserve">se philosophers </w:t>
      </w:r>
      <w:r w:rsidRPr="00CD652C">
        <w:rPr>
          <w:rFonts w:eastAsia="Arial" w:cs="Times New Roman"/>
        </w:rPr>
        <w:t>made</w:t>
      </w:r>
      <w:r>
        <w:rPr>
          <w:rFonts w:eastAsia="Arial" w:cs="Times New Roman"/>
        </w:rPr>
        <w:t xml:space="preserve"> </w:t>
      </w:r>
      <w:r w:rsidRPr="00CD652C">
        <w:rPr>
          <w:rFonts w:eastAsia="Arial" w:cs="Times New Roman"/>
        </w:rPr>
        <w:t>all sorts of assumptions upon which to base their arguments. Most crucially</w:t>
      </w:r>
      <w:r>
        <w:rPr>
          <w:rFonts w:eastAsia="Arial" w:cs="Times New Roman"/>
        </w:rPr>
        <w:t xml:space="preserve">, </w:t>
      </w:r>
      <w:r w:rsidRPr="00CD652C">
        <w:rPr>
          <w:rFonts w:eastAsia="Arial" w:cs="Times New Roman"/>
        </w:rPr>
        <w:t xml:space="preserve">they believed that the </w:t>
      </w:r>
      <w:r>
        <w:rPr>
          <w:rFonts w:eastAsia="Arial" w:cs="Times New Roman"/>
        </w:rPr>
        <w:t xml:space="preserve">happiness </w:t>
      </w:r>
      <w:r w:rsidRPr="00CD652C">
        <w:rPr>
          <w:rFonts w:eastAsia="Arial" w:cs="Times New Roman"/>
        </w:rPr>
        <w:t>benefits of economic activity</w:t>
      </w:r>
      <w:r>
        <w:rPr>
          <w:rFonts w:eastAsia="Arial" w:cs="Times New Roman"/>
        </w:rPr>
        <w:t xml:space="preserve"> </w:t>
      </w:r>
      <w:r w:rsidRPr="00CD652C">
        <w:rPr>
          <w:rFonts w:eastAsia="Arial" w:cs="Times New Roman"/>
        </w:rPr>
        <w:t>could not be directly measured. Positive outcomes for the individual could only inferred</w:t>
      </w:r>
      <w:r>
        <w:rPr>
          <w:rFonts w:eastAsia="Arial" w:cs="Times New Roman"/>
        </w:rPr>
        <w:t xml:space="preserve"> </w:t>
      </w:r>
      <w:r w:rsidRPr="00CD652C">
        <w:rPr>
          <w:rFonts w:eastAsia="Arial" w:cs="Times New Roman"/>
        </w:rPr>
        <w:t xml:space="preserve">from their rational choice </w:t>
      </w:r>
      <w:r>
        <w:rPr>
          <w:rFonts w:eastAsia="Arial" w:cs="Times New Roman"/>
        </w:rPr>
        <w:t>behaviour (as did Jefferson)</w:t>
      </w:r>
      <w:r w:rsidRPr="00CD652C">
        <w:rPr>
          <w:rFonts w:eastAsia="Arial" w:cs="Times New Roman"/>
        </w:rPr>
        <w:t xml:space="preserve">, and this benefit became known as ‘utility’. </w:t>
      </w:r>
      <w:proofErr w:type="gramStart"/>
      <w:r w:rsidRPr="00CD652C">
        <w:rPr>
          <w:rFonts w:eastAsia="Arial" w:cs="Times New Roman"/>
        </w:rPr>
        <w:t>Thus</w:t>
      </w:r>
      <w:proofErr w:type="gramEnd"/>
      <w:r w:rsidRPr="00CD652C">
        <w:rPr>
          <w:rFonts w:eastAsia="Arial" w:cs="Times New Roman"/>
        </w:rPr>
        <w:t xml:space="preserve"> it</w:t>
      </w:r>
      <w:r>
        <w:rPr>
          <w:rFonts w:eastAsia="Arial" w:cs="Times New Roman"/>
        </w:rPr>
        <w:t xml:space="preserve"> </w:t>
      </w:r>
      <w:r w:rsidRPr="00CD652C">
        <w:rPr>
          <w:rFonts w:eastAsia="Arial" w:cs="Times New Roman"/>
        </w:rPr>
        <w:t>came about that, within economics, income became proxy for happiness and, ceteris</w:t>
      </w:r>
      <w:r>
        <w:rPr>
          <w:rFonts w:eastAsia="Arial" w:cs="Times New Roman"/>
        </w:rPr>
        <w:t xml:space="preserve"> </w:t>
      </w:r>
      <w:r w:rsidRPr="00CD652C">
        <w:rPr>
          <w:rFonts w:eastAsia="Arial" w:cs="Times New Roman"/>
        </w:rPr>
        <w:t>paribus, the more money individuals or nations have, the happier they are.</w:t>
      </w:r>
      <w:r>
        <w:rPr>
          <w:rFonts w:eastAsia="Arial" w:cs="Times New Roman"/>
        </w:rPr>
        <w:t xml:space="preserve"> [and, as we now know, happier and warmer]. </w:t>
      </w:r>
    </w:p>
    <w:p w:rsidR="008C56BE" w:rsidRDefault="008C56BE" w:rsidP="008C56BE">
      <w:pPr>
        <w:rPr>
          <w:rFonts w:eastAsia="Arial" w:cs="Times New Roman"/>
        </w:rPr>
      </w:pPr>
    </w:p>
    <w:p w:rsidR="008C56BE" w:rsidRDefault="008C56BE" w:rsidP="008C56BE">
      <w:pPr>
        <w:rPr>
          <w:rFonts w:eastAsia="Arial" w:cs="Times New Roman"/>
        </w:rPr>
      </w:pPr>
      <w:r>
        <w:rPr>
          <w:rFonts w:eastAsia="Arial" w:cs="Times New Roman"/>
        </w:rPr>
        <w:t>Because these philosophers believed that ‘happiness’ could not be directly measured, they did not further define the term. But, had they done so, they would likely have been in the same ball-park as Jefferson, possibly without the necessity to cross the Atlantic to achieve the desired state. So, what has psychological science contributed to this definition during the intervening 2</w:t>
      </w:r>
      <w:r w:rsidR="00F31DBC">
        <w:rPr>
          <w:rFonts w:eastAsia="Arial" w:cs="Times New Roman"/>
        </w:rPr>
        <w:t>43</w:t>
      </w:r>
      <w:r>
        <w:rPr>
          <w:rFonts w:eastAsia="Arial" w:cs="Times New Roman"/>
        </w:rPr>
        <w:t xml:space="preserve"> years? </w:t>
      </w:r>
    </w:p>
    <w:p w:rsidR="008C56BE" w:rsidRDefault="008C56BE" w:rsidP="008C56BE">
      <w:pPr>
        <w:rPr>
          <w:rFonts w:eastAsia="Arial" w:cs="Times New Roman"/>
        </w:rPr>
      </w:pPr>
    </w:p>
    <w:p w:rsidR="008C56BE" w:rsidRDefault="008C56BE" w:rsidP="008C56BE">
      <w:pPr>
        <w:rPr>
          <w:rFonts w:eastAsia="Arial" w:cs="Times New Roman"/>
        </w:rPr>
      </w:pPr>
      <w:r>
        <w:rPr>
          <w:rFonts w:eastAsia="Arial" w:cs="Times New Roman"/>
        </w:rPr>
        <w:t xml:space="preserve">Thirty years after Jefferson, </w:t>
      </w:r>
      <w:r w:rsidRPr="001334F7">
        <w:rPr>
          <w:rFonts w:eastAsia="Arial" w:cs="Times New Roman"/>
        </w:rPr>
        <w:t>Noah Webster</w:t>
      </w:r>
      <w:r>
        <w:rPr>
          <w:rFonts w:eastAsia="Arial" w:cs="Times New Roman"/>
        </w:rPr>
        <w:t xml:space="preserve"> produced his</w:t>
      </w:r>
      <w:r w:rsidRPr="001334F7">
        <w:rPr>
          <w:rFonts w:eastAsia="Arial" w:cs="Times New Roman"/>
        </w:rPr>
        <w:t xml:space="preserve"> first dictionary, </w:t>
      </w:r>
      <w:r>
        <w:rPr>
          <w:rFonts w:eastAsia="Arial" w:cs="Times New Roman"/>
        </w:rPr>
        <w:t>‘</w:t>
      </w:r>
      <w:r w:rsidRPr="001334F7">
        <w:rPr>
          <w:rFonts w:eastAsia="Arial" w:cs="Times New Roman"/>
        </w:rPr>
        <w:t>A Compendious Dictionary of English</w:t>
      </w:r>
      <w:r>
        <w:rPr>
          <w:rFonts w:eastAsia="Arial" w:cs="Times New Roman"/>
        </w:rPr>
        <w:t xml:space="preserve"> </w:t>
      </w:r>
      <w:r w:rsidRPr="001334F7">
        <w:rPr>
          <w:rFonts w:eastAsia="Arial" w:cs="Times New Roman"/>
        </w:rPr>
        <w:t>Language</w:t>
      </w:r>
      <w:r>
        <w:rPr>
          <w:rFonts w:eastAsia="Arial" w:cs="Times New Roman"/>
        </w:rPr>
        <w:t>’</w:t>
      </w:r>
      <w:r w:rsidRPr="001334F7">
        <w:rPr>
          <w:rFonts w:eastAsia="Arial" w:cs="Times New Roman"/>
        </w:rPr>
        <w:t xml:space="preserve"> </w:t>
      </w:r>
      <w:r>
        <w:rPr>
          <w:rFonts w:eastAsia="Arial" w:cs="Times New Roman"/>
        </w:rPr>
        <w:fldChar w:fldCharType="begin"/>
      </w:r>
      <w:r w:rsidR="00EC435A">
        <w:rPr>
          <w:rFonts w:eastAsia="Arial" w:cs="Times New Roman"/>
        </w:rPr>
        <w:instrText xml:space="preserve"> ADDIN EN.CITE &lt;EndNote&gt;&lt;Cite&gt;&lt;Author&gt;Webster&lt;/Author&gt;&lt;Year&gt;1806&lt;/Year&gt;&lt;RecNum&gt;3945&lt;/RecNum&gt;&lt;DisplayText&gt;(Webster, 1806)&lt;/DisplayText&gt;&lt;record&gt;&lt;rec-number&gt;3945&lt;/rec-number&gt;&lt;foreign-keys&gt;&lt;key app="EN" db-id="z2xarpe9cfrvp4ezdxk5ddx9dsrzr05f22sa" timestamp="1569207512"&gt;3945&lt;/key&gt;&lt;/foreign-keys&gt;&lt;ref-type name="Book"&gt;6&lt;/ref-type&gt;&lt;contributors&gt;&lt;authors&gt;&lt;author&gt;Webster, N.&lt;/author&gt;&lt;/authors&gt;&lt;/contributors&gt;&lt;titles&gt;&lt;title&gt;A Compendious Dictionary of the English Language&lt;/title&gt;&lt;/titles&gt;&lt;section&gt;139&lt;/section&gt;&lt;dates&gt;&lt;year&gt;1806&lt;/year&gt;&lt;/dates&gt;&lt;pub-location&gt;New Haven&lt;/pub-location&gt;&lt;publisher&gt;Hartford&lt;/publisher&gt;&lt;urls&gt;&lt;/urls&gt;&lt;/record&gt;&lt;/Cite&gt;&lt;/EndNote&gt;</w:instrText>
      </w:r>
      <w:r>
        <w:rPr>
          <w:rFonts w:eastAsia="Arial" w:cs="Times New Roman"/>
        </w:rPr>
        <w:fldChar w:fldCharType="separate"/>
      </w:r>
      <w:r>
        <w:rPr>
          <w:rFonts w:eastAsia="Arial" w:cs="Times New Roman"/>
          <w:noProof/>
        </w:rPr>
        <w:t>(Webster, 1806)</w:t>
      </w:r>
      <w:r>
        <w:rPr>
          <w:rFonts w:eastAsia="Arial" w:cs="Times New Roman"/>
        </w:rPr>
        <w:fldChar w:fldCharType="end"/>
      </w:r>
      <w:r>
        <w:rPr>
          <w:rFonts w:eastAsia="Arial" w:cs="Times New Roman"/>
        </w:rPr>
        <w:t>. This</w:t>
      </w:r>
      <w:r w:rsidRPr="001334F7">
        <w:rPr>
          <w:rFonts w:eastAsia="Arial" w:cs="Times New Roman"/>
        </w:rPr>
        <w:t xml:space="preserve"> modest, small-sized dictionary of about 400 pages, was</w:t>
      </w:r>
      <w:r>
        <w:rPr>
          <w:rFonts w:eastAsia="Arial" w:cs="Times New Roman"/>
        </w:rPr>
        <w:t xml:space="preserve"> </w:t>
      </w:r>
      <w:r w:rsidRPr="001334F7">
        <w:rPr>
          <w:rFonts w:eastAsia="Arial" w:cs="Times New Roman"/>
        </w:rPr>
        <w:t>the first dictionary of any significance produced by an American</w:t>
      </w:r>
      <w:r>
        <w:rPr>
          <w:rFonts w:eastAsia="Arial" w:cs="Times New Roman"/>
        </w:rPr>
        <w:t xml:space="preserve"> </w:t>
      </w:r>
      <w:r>
        <w:rPr>
          <w:rFonts w:eastAsia="Arial" w:cs="Times New Roman"/>
        </w:rPr>
        <w:fldChar w:fldCharType="begin"/>
      </w:r>
      <w:r>
        <w:rPr>
          <w:rFonts w:eastAsia="Arial" w:cs="Times New Roman"/>
        </w:rPr>
        <w:instrText xml:space="preserve"> ADDIN EN.CITE &lt;EndNote&gt;&lt;Cite&gt;&lt;Author&gt;Landau&lt;/Author&gt;&lt;Year&gt;2005&lt;/Year&gt;&lt;RecNum&gt;3947&lt;/RecNum&gt;&lt;DisplayText&gt;(Landau, 2005)&lt;/DisplayText&gt;&lt;record&gt;&lt;rec-number&gt;3947&lt;/rec-number&gt;&lt;foreign-keys&gt;&lt;key app="EN" db-id="z2xarpe9cfrvp4ezdxk5ddx9dsrzr05f22sa" timestamp="1569207833"&gt;3947&lt;/key&gt;&lt;/foreign-keys&gt;&lt;ref-type name="Journal Article"&gt;17&lt;/ref-type&gt;&lt;contributors&gt;&lt;authors&gt;&lt;author&gt;Landau, S. I.&lt;/author&gt;&lt;/authors&gt;&lt;/contributors&gt;&lt;titles&gt;&lt;title&gt;Johnson&amp;apos;s influence on Webster and Worcester in early American lexicography&lt;/title&gt;&lt;secondary-title&gt;International Journal of Lexicography&lt;/secondary-title&gt;&lt;/titles&gt;&lt;periodical&gt;&lt;full-title&gt;International Journal of Lexicography&lt;/full-title&gt;&lt;/periodical&gt;&lt;pages&gt;217-229&lt;/pages&gt;&lt;volume&gt;18&lt;/volume&gt;&lt;number&gt;2&lt;/number&gt;&lt;dates&gt;&lt;year&gt;2005&lt;/year&gt;&lt;/dates&gt;&lt;isbn&gt;1477-4577&lt;/isbn&gt;&lt;urls&gt;&lt;/urls&gt;&lt;/record&gt;&lt;/Cite&gt;&lt;/EndNote&gt;</w:instrText>
      </w:r>
      <w:r>
        <w:rPr>
          <w:rFonts w:eastAsia="Arial" w:cs="Times New Roman"/>
        </w:rPr>
        <w:fldChar w:fldCharType="separate"/>
      </w:r>
      <w:r>
        <w:rPr>
          <w:rFonts w:eastAsia="Arial" w:cs="Times New Roman"/>
          <w:noProof/>
        </w:rPr>
        <w:t>(Landau, 2005)</w:t>
      </w:r>
      <w:r>
        <w:rPr>
          <w:rFonts w:eastAsia="Arial" w:cs="Times New Roman"/>
        </w:rPr>
        <w:fldChar w:fldCharType="end"/>
      </w:r>
      <w:r w:rsidRPr="001334F7">
        <w:rPr>
          <w:rFonts w:eastAsia="Arial" w:cs="Times New Roman"/>
        </w:rPr>
        <w:t>.</w:t>
      </w:r>
      <w:r>
        <w:rPr>
          <w:rFonts w:eastAsia="Arial" w:cs="Times New Roman"/>
        </w:rPr>
        <w:t xml:space="preserve"> </w:t>
      </w:r>
    </w:p>
    <w:p w:rsidR="00EC435A" w:rsidRDefault="00EC435A" w:rsidP="008C56BE">
      <w:pPr>
        <w:rPr>
          <w:rFonts w:eastAsia="Arial" w:cs="Times New Roman"/>
        </w:rPr>
      </w:pPr>
    </w:p>
    <w:p w:rsidR="00EC435A" w:rsidRDefault="00EC435A" w:rsidP="008C56BE">
      <w:pPr>
        <w:rPr>
          <w:rFonts w:eastAsia="Arial" w:cs="Times New Roman"/>
        </w:rPr>
      </w:pPr>
      <w:r w:rsidRPr="002F4B0E">
        <w:rPr>
          <w:rFonts w:eastAsia="Arial" w:cs="Times New Roman"/>
          <w:b/>
        </w:rPr>
        <w:fldChar w:fldCharType="begin"/>
      </w:r>
      <w:r w:rsidRPr="002F4B0E">
        <w:rPr>
          <w:rFonts w:eastAsia="Arial" w:cs="Times New Roman"/>
          <w:b/>
        </w:rPr>
        <w:instrText xml:space="preserve"> ADDIN EN.CITE &lt;EndNote&gt;&lt;Cite&gt;&lt;Author&gt;Webster&lt;/Author&gt;&lt;Year&gt;1806&lt;/Year&gt;&lt;RecNum&gt;3945&lt;/RecNum&gt;&lt;Pages&gt;139&lt;/Pages&gt;&lt;DisplayText&gt;(Webster, 1806, p. 139)&lt;/DisplayText&gt;&lt;record&gt;&lt;rec-number&gt;3945&lt;/rec-number&gt;&lt;foreign-keys&gt;&lt;key app="EN" db-id="z2xarpe9cfrvp4ezdxk5ddx9dsrzr05f22sa" timestamp="1569207512"&gt;3945&lt;/key&gt;&lt;/foreign-keys&gt;&lt;ref-type name="Book"&gt;6&lt;/ref-type&gt;&lt;contributors&gt;&lt;authors&gt;&lt;author&gt;Webster, N.&lt;/author&gt;&lt;/authors&gt;&lt;/contributors&gt;&lt;titles&gt;&lt;title&gt;A Compendious Dictionary of the English Language&lt;/title&gt;&lt;/titles&gt;&lt;section&gt;139&lt;/section&gt;&lt;dates&gt;&lt;year&gt;1806&lt;/year&gt;&lt;/dates&gt;&lt;pub-location&gt;New Haven&lt;/pub-location&gt;&lt;publisher&gt;Hartford&lt;/publisher&gt;&lt;urls&gt;&lt;/urls&gt;&lt;/record&gt;&lt;/Cite&gt;&lt;/EndNote&gt;</w:instrText>
      </w:r>
      <w:r w:rsidRPr="002F4B0E">
        <w:rPr>
          <w:rFonts w:eastAsia="Arial" w:cs="Times New Roman"/>
          <w:b/>
        </w:rPr>
        <w:fldChar w:fldCharType="separate"/>
      </w:r>
      <w:r w:rsidRPr="002F4B0E">
        <w:rPr>
          <w:rFonts w:eastAsia="Arial" w:cs="Times New Roman"/>
          <w:b/>
          <w:noProof/>
        </w:rPr>
        <w:t>(Webster, 1806, p. 139)</w:t>
      </w:r>
      <w:r w:rsidRPr="002F4B0E">
        <w:rPr>
          <w:rFonts w:eastAsia="Arial" w:cs="Times New Roman"/>
          <w:b/>
        </w:rPr>
        <w:fldChar w:fldCharType="end"/>
      </w:r>
      <w:r>
        <w:rPr>
          <w:rFonts w:eastAsia="Arial" w:cs="Times New Roman"/>
        </w:rPr>
        <w:t xml:space="preserve"> “</w:t>
      </w:r>
      <w:proofErr w:type="spellStart"/>
      <w:r>
        <w:rPr>
          <w:rFonts w:eastAsia="Arial" w:cs="Times New Roman"/>
        </w:rPr>
        <w:t>Happinefs</w:t>
      </w:r>
      <w:proofErr w:type="spellEnd"/>
      <w:r>
        <w:rPr>
          <w:rFonts w:eastAsia="Arial" w:cs="Times New Roman"/>
        </w:rPr>
        <w:t xml:space="preserve">, n. </w:t>
      </w:r>
      <w:proofErr w:type="spellStart"/>
      <w:r>
        <w:rPr>
          <w:rFonts w:eastAsia="Arial" w:cs="Times New Roman"/>
        </w:rPr>
        <w:t>bleffednefs</w:t>
      </w:r>
      <w:proofErr w:type="spellEnd"/>
      <w:r>
        <w:rPr>
          <w:rFonts w:eastAsia="Arial" w:cs="Times New Roman"/>
        </w:rPr>
        <w:t>, content, good fortune”</w:t>
      </w:r>
    </w:p>
    <w:p w:rsidR="002F4B0E" w:rsidRDefault="002F4B0E" w:rsidP="008C56BE">
      <w:pPr>
        <w:rPr>
          <w:rFonts w:eastAsia="Arial" w:cs="Times New Roman"/>
        </w:rPr>
      </w:pPr>
    </w:p>
    <w:p w:rsidR="002F4B0E" w:rsidRDefault="002F4B0E" w:rsidP="008C56BE">
      <w:pPr>
        <w:rPr>
          <w:rFonts w:eastAsia="Arial" w:cs="Times New Roman"/>
        </w:rPr>
      </w:pPr>
      <w:r w:rsidRPr="002F4B0E">
        <w:rPr>
          <w:rFonts w:eastAsia="Arial" w:cs="Times New Roman"/>
          <w:b/>
        </w:rPr>
        <w:t>Comment:</w:t>
      </w:r>
      <w:r>
        <w:rPr>
          <w:rFonts w:eastAsia="Arial" w:cs="Times New Roman"/>
        </w:rPr>
        <w:t xml:space="preserve"> It is fascinating to see the inclusion of ‘content’. While this word was not used in subsequent entries by Webster, it does appear in the Psychological Science description 213 years later (see below).</w:t>
      </w:r>
    </w:p>
    <w:p w:rsidR="008C56BE" w:rsidRDefault="008C56BE" w:rsidP="008C56BE">
      <w:pPr>
        <w:rPr>
          <w:rFonts w:eastAsia="Arial" w:cs="Times New Roman"/>
        </w:rPr>
      </w:pPr>
    </w:p>
    <w:p w:rsidR="008C56BE" w:rsidRPr="00357B1C" w:rsidRDefault="008C56BE" w:rsidP="008C56BE">
      <w:pPr>
        <w:rPr>
          <w:rFonts w:eastAsia="Arial" w:cs="Times New Roman"/>
        </w:rPr>
      </w:pPr>
      <w:r w:rsidRPr="00EB33BE">
        <w:rPr>
          <w:rFonts w:eastAsia="Arial" w:cs="Times New Roman"/>
          <w:b/>
          <w:bCs/>
        </w:rPr>
        <w:fldChar w:fldCharType="begin"/>
      </w:r>
      <w:r w:rsidRPr="00EB33BE">
        <w:rPr>
          <w:rFonts w:eastAsia="Arial" w:cs="Times New Roman"/>
          <w:b/>
          <w:bCs/>
        </w:rPr>
        <w:instrText xml:space="preserve"> ADDIN EN.CITE &lt;EndNote&gt;&lt;Cite&gt;&lt;Author&gt;Webster&lt;/Author&gt;&lt;Year&gt;1828&lt;/Year&gt;&lt;RecNum&gt;3944&lt;/RecNum&gt;&lt;DisplayText&gt;(Webster, 1828)&lt;/DisplayText&gt;&lt;record&gt;&lt;rec-number&gt;3944&lt;/rec-number&gt;&lt;foreign-keys&gt;&lt;key app="EN" db-id="z2xarpe9cfrvp4ezdxk5ddx9dsrzr05f22sa" timestamp="1569206898"&gt;3944&lt;/key&gt;&lt;/foreign-keys&gt;&lt;ref-type name="Book"&gt;6&lt;/ref-type&gt;&lt;contributors&gt;&lt;authors&gt;&lt;author&gt;Webster, N.&lt;/author&gt;&lt;/authors&gt;&lt;/contributors&gt;&lt;titles&gt;&lt;title&gt;An American Dictionary of the English Language. (2 vols.)&lt;/title&gt;&lt;/titles&gt;&lt;dates&gt;&lt;year&gt;1828&lt;/year&gt;&lt;/dates&gt;&lt;pub-location&gt; New York&lt;/pub-location&gt;&lt;publisher&gt;S. Converse&lt;/publisher&gt;&lt;urls&gt;&lt;/urls&gt;&lt;/record&gt;&lt;/Cite&gt;&lt;/EndNote&gt;</w:instrText>
      </w:r>
      <w:r w:rsidRPr="00EB33BE">
        <w:rPr>
          <w:rFonts w:eastAsia="Arial" w:cs="Times New Roman"/>
          <w:b/>
          <w:bCs/>
        </w:rPr>
        <w:fldChar w:fldCharType="separate"/>
      </w:r>
      <w:r w:rsidRPr="00EB33BE">
        <w:rPr>
          <w:rFonts w:eastAsia="Arial" w:cs="Times New Roman"/>
          <w:b/>
          <w:bCs/>
          <w:noProof/>
        </w:rPr>
        <w:t>(Webster, 1828)</w:t>
      </w:r>
      <w:r w:rsidRPr="00EB33BE">
        <w:rPr>
          <w:rFonts w:eastAsia="Arial" w:cs="Times New Roman"/>
          <w:b/>
          <w:bCs/>
        </w:rPr>
        <w:fldChar w:fldCharType="end"/>
      </w:r>
      <w:r w:rsidRPr="00EB33BE">
        <w:rPr>
          <w:rFonts w:eastAsia="Arial" w:cs="Times New Roman"/>
          <w:b/>
          <w:bCs/>
        </w:rPr>
        <w:t xml:space="preserve"> </w:t>
      </w:r>
      <w:r w:rsidRPr="00EB33BE">
        <w:rPr>
          <w:rFonts w:eastAsia="Arial" w:cs="Times New Roman"/>
          <w:b/>
          <w:bCs/>
          <w:i/>
        </w:rPr>
        <w:t>“</w:t>
      </w:r>
      <w:r w:rsidRPr="00EB33BE">
        <w:rPr>
          <w:rFonts w:eastAsia="Arial" w:cs="Times New Roman"/>
          <w:bCs/>
          <w:i/>
        </w:rPr>
        <w:t>Happiness:</w:t>
      </w:r>
      <w:r w:rsidRPr="00EB33BE">
        <w:rPr>
          <w:rFonts w:eastAsia="Arial" w:cs="Times New Roman"/>
          <w:i/>
        </w:rPr>
        <w:t xml:space="preserve"> The agreeable sensations which spring from the enjoyment of good; that state of a being in which his desires are gratified, by the enjoyment of pleasure without pain; felicity [great happiness]; but </w:t>
      </w:r>
      <w:r w:rsidRPr="00EB33BE">
        <w:rPr>
          <w:rFonts w:eastAsia="Arial" w:cs="Times New Roman"/>
          <w:i/>
          <w:iCs/>
        </w:rPr>
        <w:t>happiness</w:t>
      </w:r>
      <w:r w:rsidRPr="00EB33BE">
        <w:rPr>
          <w:rFonts w:eastAsia="Arial" w:cs="Times New Roman"/>
          <w:i/>
        </w:rPr>
        <w:t xml:space="preserve"> usually expresses less than felicity, and felicity less than bliss. </w:t>
      </w:r>
      <w:r w:rsidRPr="00EB33BE">
        <w:rPr>
          <w:rFonts w:eastAsia="Arial" w:cs="Times New Roman"/>
          <w:i/>
          <w:iCs/>
        </w:rPr>
        <w:t>happiness</w:t>
      </w:r>
      <w:r w:rsidRPr="00EB33BE">
        <w:rPr>
          <w:rFonts w:eastAsia="Arial" w:cs="Times New Roman"/>
          <w:i/>
        </w:rPr>
        <w:t xml:space="preserve"> is comparative. To a person distressed with pain, relief from that pain affords happiness; in other </w:t>
      </w:r>
      <w:proofErr w:type="gramStart"/>
      <w:r w:rsidRPr="00EB33BE">
        <w:rPr>
          <w:rFonts w:eastAsia="Arial" w:cs="Times New Roman"/>
          <w:i/>
        </w:rPr>
        <w:t>cases</w:t>
      </w:r>
      <w:proofErr w:type="gramEnd"/>
      <w:r w:rsidRPr="00EB33BE">
        <w:rPr>
          <w:rFonts w:eastAsia="Arial" w:cs="Times New Roman"/>
          <w:i/>
        </w:rPr>
        <w:t xml:space="preserve"> we give the name </w:t>
      </w:r>
      <w:r w:rsidRPr="00EB33BE">
        <w:rPr>
          <w:rFonts w:eastAsia="Arial" w:cs="Times New Roman"/>
          <w:i/>
          <w:iCs/>
        </w:rPr>
        <w:t>happiness</w:t>
      </w:r>
      <w:r w:rsidRPr="00EB33BE">
        <w:rPr>
          <w:rFonts w:eastAsia="Arial" w:cs="Times New Roman"/>
          <w:i/>
        </w:rPr>
        <w:t xml:space="preserve"> to positive pleasure or an excitement of agreeable sensations. </w:t>
      </w:r>
      <w:r w:rsidRPr="00EB33BE">
        <w:rPr>
          <w:rFonts w:eastAsia="Arial" w:cs="Times New Roman"/>
          <w:i/>
          <w:iCs/>
        </w:rPr>
        <w:t>happiness</w:t>
      </w:r>
      <w:r w:rsidRPr="00EB33BE">
        <w:rPr>
          <w:rFonts w:eastAsia="Arial" w:cs="Times New Roman"/>
          <w:i/>
        </w:rPr>
        <w:t xml:space="preserve"> therefore admits of indefinite degrees of increase in enjoyment, or gratification of desires. Perfect </w:t>
      </w:r>
      <w:r w:rsidRPr="00EB33BE">
        <w:rPr>
          <w:rFonts w:eastAsia="Arial" w:cs="Times New Roman"/>
          <w:i/>
          <w:iCs/>
        </w:rPr>
        <w:t>happiness</w:t>
      </w:r>
      <w:r w:rsidRPr="00EB33BE">
        <w:rPr>
          <w:rFonts w:eastAsia="Arial" w:cs="Times New Roman"/>
          <w:i/>
        </w:rPr>
        <w:t xml:space="preserve"> or pleasure unalloyed with pain, is not attainable in this life”.</w:t>
      </w:r>
    </w:p>
    <w:p w:rsidR="008C56BE" w:rsidRDefault="008C56BE" w:rsidP="008C56BE">
      <w:pPr>
        <w:rPr>
          <w:rFonts w:eastAsia="Arial" w:cs="Times New Roman"/>
        </w:rPr>
      </w:pPr>
    </w:p>
    <w:p w:rsidR="008C56BE" w:rsidRDefault="008C56BE" w:rsidP="008C56BE">
      <w:pPr>
        <w:rPr>
          <w:rFonts w:eastAsia="Arial" w:cs="Times New Roman"/>
        </w:rPr>
      </w:pPr>
      <w:r w:rsidRPr="00EB33BE">
        <w:rPr>
          <w:rFonts w:eastAsia="Arial" w:cs="Times New Roman"/>
          <w:b/>
        </w:rPr>
        <w:t xml:space="preserve">Comment: </w:t>
      </w:r>
      <w:r>
        <w:rPr>
          <w:rFonts w:eastAsia="Arial" w:cs="Times New Roman"/>
        </w:rPr>
        <w:t>While this description is much closer to the current view, it still presents a view of happiness encumbered by: (a) being free from pain [</w:t>
      </w:r>
      <w:r w:rsidRPr="00DF53D7">
        <w:rPr>
          <w:rFonts w:eastAsia="Arial" w:cs="Times New Roman"/>
        </w:rPr>
        <w:t>masochist</w:t>
      </w:r>
      <w:r>
        <w:rPr>
          <w:rFonts w:eastAsia="Arial" w:cs="Times New Roman"/>
        </w:rPr>
        <w:t>s would disagree] and being created by release from pain [a jilted lover, released from pain, would disagree]; (b) being comparative [not so, see HPMood later]; pure happiness without pain is not attainable by mortals [not so, both meditation and medication can provide this].</w:t>
      </w:r>
    </w:p>
    <w:p w:rsidR="008C56BE" w:rsidRDefault="008C56BE" w:rsidP="008C56BE">
      <w:pPr>
        <w:rPr>
          <w:rFonts w:eastAsia="Arial" w:cs="Times New Roman"/>
        </w:rPr>
      </w:pPr>
    </w:p>
    <w:p w:rsidR="008C56BE" w:rsidRDefault="008C56BE" w:rsidP="008C56BE">
      <w:pPr>
        <w:rPr>
          <w:rFonts w:eastAsia="Arial" w:cs="Times New Roman"/>
          <w:b/>
          <w:bCs/>
        </w:rPr>
      </w:pPr>
      <w:r>
        <w:rPr>
          <w:rFonts w:eastAsia="Arial" w:cs="Times New Roman"/>
          <w:b/>
          <w:bCs/>
        </w:rPr>
        <w:lastRenderedPageBreak/>
        <w:fldChar w:fldCharType="begin"/>
      </w:r>
      <w:r>
        <w:rPr>
          <w:rFonts w:eastAsia="Arial" w:cs="Times New Roman"/>
          <w:b/>
          <w:bCs/>
        </w:rPr>
        <w:instrText xml:space="preserve"> ADDIN EN.CITE &lt;EndNote&gt;&lt;Cite&gt;&lt;Author&gt;Webster&lt;/Author&gt;&lt;Year&gt;1913&lt;/Year&gt;&lt;RecNum&gt;3948&lt;/RecNum&gt;&lt;DisplayText&gt;(Webster, 1913)&lt;/DisplayText&gt;&lt;record&gt;&lt;rec-number&gt;3948&lt;/rec-number&gt;&lt;foreign-keys&gt;&lt;key app="EN" db-id="z2xarpe9cfrvp4ezdxk5ddx9dsrzr05f22sa" timestamp="1569307473"&gt;3948&lt;/key&gt;&lt;/foreign-keys&gt;&lt;ref-type name="Book"&gt;6&lt;/ref-type&gt;&lt;contributors&gt;&lt;authors&gt;&lt;author&gt;Webster, N.&lt;/author&gt;&lt;/authors&gt;&lt;/contributors&gt;&lt;titles&gt;&lt;title&gt;Webster&amp;apos;s Revised Unabridged Dictionary of the English Language: The Dictionary Proper Being the Authentic Ed. of Webster&amp;apos;s International Dictionary of One Thousand Eight Hundred and Ninety, Ed. Under the Supervision of Noah Porter... to which is Now Added a Department of New Words, Together with Many Valuable Special Features&lt;/title&gt;&lt;/titles&gt;&lt;dates&gt;&lt;year&gt;1913&lt;/year&gt;&lt;/dates&gt;&lt;pub-location&gt;Springfield, Mass&lt;/pub-location&gt;&lt;publisher&gt;G. &amp;amp; C. Merriam Company&lt;/publisher&gt;&lt;urls&gt;&lt;/urls&gt;&lt;/record&gt;&lt;/Cite&gt;&lt;/EndNote&gt;</w:instrText>
      </w:r>
      <w:r>
        <w:rPr>
          <w:rFonts w:eastAsia="Arial" w:cs="Times New Roman"/>
          <w:b/>
          <w:bCs/>
        </w:rPr>
        <w:fldChar w:fldCharType="separate"/>
      </w:r>
      <w:r>
        <w:rPr>
          <w:rFonts w:eastAsia="Arial" w:cs="Times New Roman"/>
          <w:b/>
          <w:bCs/>
          <w:noProof/>
        </w:rPr>
        <w:t>(Webster, 1913)</w:t>
      </w:r>
      <w:r>
        <w:rPr>
          <w:rFonts w:eastAsia="Arial" w:cs="Times New Roman"/>
          <w:b/>
          <w:bCs/>
        </w:rPr>
        <w:fldChar w:fldCharType="end"/>
      </w:r>
    </w:p>
    <w:p w:rsidR="008C56BE" w:rsidRPr="008C56BE" w:rsidRDefault="008C56BE" w:rsidP="008C56BE">
      <w:pPr>
        <w:rPr>
          <w:rFonts w:eastAsia="Arial" w:cs="Times New Roman"/>
          <w:i/>
        </w:rPr>
      </w:pPr>
      <w:r w:rsidRPr="008C56BE">
        <w:rPr>
          <w:rFonts w:eastAsia="Arial" w:cs="Times New Roman"/>
          <w:bCs/>
          <w:i/>
        </w:rPr>
        <w:t>1.</w:t>
      </w:r>
      <w:r w:rsidRPr="008C56BE">
        <w:rPr>
          <w:rFonts w:eastAsia="Arial" w:cs="Times New Roman"/>
          <w:i/>
        </w:rPr>
        <w:tab/>
      </w:r>
      <w:hyperlink r:id="rId10" w:history="1">
        <w:r w:rsidRPr="008C56BE">
          <w:rPr>
            <w:rStyle w:val="Hyperlink"/>
            <w:rFonts w:eastAsia="Arial" w:cs="Times New Roman"/>
            <w:i/>
            <w:color w:val="auto"/>
            <w:u w:val="none"/>
          </w:rPr>
          <w:t>Good</w:t>
        </w:r>
      </w:hyperlink>
      <w:r w:rsidRPr="008C56BE">
        <w:rPr>
          <w:rFonts w:eastAsia="Arial" w:cs="Times New Roman"/>
          <w:i/>
        </w:rPr>
        <w:t xml:space="preserve"> </w:t>
      </w:r>
      <w:hyperlink r:id="rId11" w:history="1">
        <w:r w:rsidRPr="008C56BE">
          <w:rPr>
            <w:rStyle w:val="Hyperlink"/>
            <w:rFonts w:eastAsia="Arial" w:cs="Times New Roman"/>
            <w:i/>
            <w:color w:val="auto"/>
            <w:u w:val="none"/>
          </w:rPr>
          <w:t>luck</w:t>
        </w:r>
      </w:hyperlink>
      <w:r w:rsidRPr="008C56BE">
        <w:rPr>
          <w:rFonts w:eastAsia="Arial" w:cs="Times New Roman"/>
          <w:i/>
        </w:rPr>
        <w:t xml:space="preserve">; </w:t>
      </w:r>
      <w:hyperlink r:id="rId12" w:history="1">
        <w:r w:rsidRPr="008C56BE">
          <w:rPr>
            <w:rStyle w:val="Hyperlink"/>
            <w:rFonts w:eastAsia="Arial" w:cs="Times New Roman"/>
            <w:i/>
            <w:color w:val="auto"/>
            <w:u w:val="none"/>
          </w:rPr>
          <w:t>good</w:t>
        </w:r>
      </w:hyperlink>
      <w:r w:rsidRPr="008C56BE">
        <w:rPr>
          <w:rFonts w:eastAsia="Arial" w:cs="Times New Roman"/>
          <w:i/>
        </w:rPr>
        <w:t xml:space="preserve"> </w:t>
      </w:r>
      <w:hyperlink r:id="rId13" w:history="1">
        <w:r w:rsidRPr="008C56BE">
          <w:rPr>
            <w:rStyle w:val="Hyperlink"/>
            <w:rFonts w:eastAsia="Arial" w:cs="Times New Roman"/>
            <w:i/>
            <w:color w:val="auto"/>
            <w:u w:val="none"/>
          </w:rPr>
          <w:t>fortune</w:t>
        </w:r>
      </w:hyperlink>
      <w:r w:rsidRPr="008C56BE">
        <w:rPr>
          <w:rFonts w:eastAsia="Arial" w:cs="Times New Roman"/>
          <w:i/>
        </w:rPr>
        <w:t xml:space="preserve">; </w:t>
      </w:r>
      <w:hyperlink r:id="rId14" w:history="1">
        <w:r w:rsidRPr="008C56BE">
          <w:rPr>
            <w:rStyle w:val="Hyperlink"/>
            <w:rFonts w:eastAsia="Arial" w:cs="Times New Roman"/>
            <w:i/>
            <w:color w:val="auto"/>
            <w:u w:val="none"/>
          </w:rPr>
          <w:t>prosperity</w:t>
        </w:r>
      </w:hyperlink>
      <w:r w:rsidRPr="008C56BE">
        <w:rPr>
          <w:rFonts w:eastAsia="Arial" w:cs="Times New Roman"/>
          <w:i/>
        </w:rPr>
        <w:t>.</w:t>
      </w:r>
    </w:p>
    <w:p w:rsidR="008C56BE" w:rsidRPr="008C56BE" w:rsidRDefault="008C56BE" w:rsidP="008C56BE">
      <w:pPr>
        <w:tabs>
          <w:tab w:val="left" w:pos="300"/>
          <w:tab w:val="left" w:pos="2010"/>
        </w:tabs>
        <w:ind w:left="45"/>
        <w:rPr>
          <w:rFonts w:eastAsia="Arial" w:cs="Times New Roman"/>
          <w:i/>
        </w:rPr>
      </w:pPr>
      <w:r w:rsidRPr="008C56BE">
        <w:rPr>
          <w:rFonts w:eastAsia="Arial" w:cs="Times New Roman"/>
          <w:bCs/>
          <w:i/>
        </w:rPr>
        <w:t>2.</w:t>
      </w:r>
      <w:r w:rsidRPr="008C56BE">
        <w:rPr>
          <w:rFonts w:eastAsia="Arial" w:cs="Times New Roman"/>
          <w:i/>
        </w:rPr>
        <w:tab/>
        <w:t xml:space="preserve">       </w:t>
      </w:r>
      <w:hyperlink r:id="rId15" w:history="1">
        <w:r w:rsidRPr="008C56BE">
          <w:rPr>
            <w:rStyle w:val="Hyperlink"/>
            <w:rFonts w:eastAsia="Arial" w:cs="Times New Roman"/>
            <w:i/>
            <w:color w:val="auto"/>
            <w:u w:val="none"/>
          </w:rPr>
          <w:t>An</w:t>
        </w:r>
      </w:hyperlink>
      <w:r w:rsidRPr="008C56BE">
        <w:rPr>
          <w:rFonts w:eastAsia="Arial" w:cs="Times New Roman"/>
          <w:i/>
        </w:rPr>
        <w:t xml:space="preserve"> </w:t>
      </w:r>
      <w:hyperlink r:id="rId16" w:history="1">
        <w:r w:rsidRPr="008C56BE">
          <w:rPr>
            <w:rStyle w:val="Hyperlink"/>
            <w:rFonts w:eastAsia="Arial" w:cs="Times New Roman"/>
            <w:i/>
            <w:color w:val="auto"/>
            <w:u w:val="none"/>
          </w:rPr>
          <w:t>agreeable</w:t>
        </w:r>
      </w:hyperlink>
      <w:r w:rsidRPr="008C56BE">
        <w:rPr>
          <w:rFonts w:eastAsia="Arial" w:cs="Times New Roman"/>
          <w:i/>
        </w:rPr>
        <w:t xml:space="preserve"> </w:t>
      </w:r>
      <w:hyperlink r:id="rId17" w:history="1">
        <w:r w:rsidRPr="008C56BE">
          <w:rPr>
            <w:rStyle w:val="Hyperlink"/>
            <w:rFonts w:eastAsia="Arial" w:cs="Times New Roman"/>
            <w:i/>
            <w:color w:val="auto"/>
            <w:u w:val="none"/>
          </w:rPr>
          <w:t>feeling</w:t>
        </w:r>
      </w:hyperlink>
      <w:r w:rsidRPr="008C56BE">
        <w:rPr>
          <w:rFonts w:eastAsia="Arial" w:cs="Times New Roman"/>
          <w:i/>
        </w:rPr>
        <w:t xml:space="preserve"> </w:t>
      </w:r>
      <w:hyperlink r:id="rId18" w:history="1">
        <w:r w:rsidRPr="008C56BE">
          <w:rPr>
            <w:rStyle w:val="Hyperlink"/>
            <w:rFonts w:eastAsia="Arial" w:cs="Times New Roman"/>
            <w:i/>
            <w:color w:val="auto"/>
            <w:u w:val="none"/>
          </w:rPr>
          <w:t>or</w:t>
        </w:r>
      </w:hyperlink>
      <w:r w:rsidRPr="008C56BE">
        <w:rPr>
          <w:rFonts w:eastAsia="Arial" w:cs="Times New Roman"/>
          <w:i/>
        </w:rPr>
        <w:t xml:space="preserve"> </w:t>
      </w:r>
      <w:hyperlink r:id="rId19" w:history="1">
        <w:r w:rsidRPr="008C56BE">
          <w:rPr>
            <w:rStyle w:val="Hyperlink"/>
            <w:rFonts w:eastAsia="Arial" w:cs="Times New Roman"/>
            <w:i/>
            <w:color w:val="auto"/>
            <w:u w:val="none"/>
          </w:rPr>
          <w:t>condition</w:t>
        </w:r>
      </w:hyperlink>
      <w:r w:rsidRPr="008C56BE">
        <w:rPr>
          <w:rFonts w:eastAsia="Arial" w:cs="Times New Roman"/>
          <w:i/>
        </w:rPr>
        <w:t xml:space="preserve"> </w:t>
      </w:r>
      <w:hyperlink r:id="rId20" w:history="1">
        <w:r w:rsidRPr="008C56BE">
          <w:rPr>
            <w:rStyle w:val="Hyperlink"/>
            <w:rFonts w:eastAsia="Arial" w:cs="Times New Roman"/>
            <w:i/>
            <w:color w:val="auto"/>
            <w:u w:val="none"/>
          </w:rPr>
          <w:t>of</w:t>
        </w:r>
      </w:hyperlink>
      <w:r w:rsidRPr="008C56BE">
        <w:rPr>
          <w:rFonts w:eastAsia="Arial" w:cs="Times New Roman"/>
          <w:i/>
        </w:rPr>
        <w:t xml:space="preserve"> </w:t>
      </w:r>
      <w:hyperlink r:id="rId21" w:history="1">
        <w:r w:rsidRPr="008C56BE">
          <w:rPr>
            <w:rStyle w:val="Hyperlink"/>
            <w:rFonts w:eastAsia="Arial" w:cs="Times New Roman"/>
            <w:i/>
            <w:color w:val="auto"/>
            <w:u w:val="none"/>
          </w:rPr>
          <w:t>the</w:t>
        </w:r>
      </w:hyperlink>
      <w:r w:rsidRPr="008C56BE">
        <w:rPr>
          <w:rFonts w:eastAsia="Arial" w:cs="Times New Roman"/>
          <w:i/>
        </w:rPr>
        <w:t xml:space="preserve"> </w:t>
      </w:r>
      <w:hyperlink r:id="rId22" w:history="1">
        <w:r w:rsidRPr="008C56BE">
          <w:rPr>
            <w:rStyle w:val="Hyperlink"/>
            <w:rFonts w:eastAsia="Arial" w:cs="Times New Roman"/>
            <w:i/>
            <w:color w:val="auto"/>
            <w:u w:val="none"/>
          </w:rPr>
          <w:t>soul</w:t>
        </w:r>
      </w:hyperlink>
      <w:r w:rsidRPr="008C56BE">
        <w:rPr>
          <w:rFonts w:eastAsia="Arial" w:cs="Times New Roman"/>
          <w:i/>
        </w:rPr>
        <w:t xml:space="preserve"> </w:t>
      </w:r>
      <w:hyperlink r:id="rId23" w:history="1">
        <w:r w:rsidRPr="008C56BE">
          <w:rPr>
            <w:rStyle w:val="Hyperlink"/>
            <w:rFonts w:eastAsia="Arial" w:cs="Times New Roman"/>
            <w:i/>
            <w:color w:val="auto"/>
            <w:u w:val="none"/>
          </w:rPr>
          <w:t>arising</w:t>
        </w:r>
      </w:hyperlink>
      <w:r w:rsidRPr="008C56BE">
        <w:rPr>
          <w:rFonts w:eastAsia="Arial" w:cs="Times New Roman"/>
          <w:i/>
        </w:rPr>
        <w:t xml:space="preserve"> </w:t>
      </w:r>
      <w:hyperlink r:id="rId24" w:history="1">
        <w:r w:rsidRPr="008C56BE">
          <w:rPr>
            <w:rStyle w:val="Hyperlink"/>
            <w:rFonts w:eastAsia="Arial" w:cs="Times New Roman"/>
            <w:i/>
            <w:color w:val="auto"/>
            <w:u w:val="none"/>
          </w:rPr>
          <w:t>from</w:t>
        </w:r>
      </w:hyperlink>
      <w:r w:rsidRPr="008C56BE">
        <w:rPr>
          <w:rFonts w:eastAsia="Arial" w:cs="Times New Roman"/>
          <w:i/>
        </w:rPr>
        <w:t xml:space="preserve"> </w:t>
      </w:r>
      <w:hyperlink r:id="rId25" w:history="1">
        <w:r w:rsidRPr="008C56BE">
          <w:rPr>
            <w:rStyle w:val="Hyperlink"/>
            <w:rFonts w:eastAsia="Arial" w:cs="Times New Roman"/>
            <w:i/>
            <w:color w:val="auto"/>
            <w:u w:val="none"/>
          </w:rPr>
          <w:t>good</w:t>
        </w:r>
      </w:hyperlink>
      <w:r w:rsidRPr="008C56BE">
        <w:rPr>
          <w:rFonts w:eastAsia="Arial" w:cs="Times New Roman"/>
          <w:i/>
        </w:rPr>
        <w:t xml:space="preserve"> </w:t>
      </w:r>
      <w:hyperlink r:id="rId26" w:history="1">
        <w:r w:rsidRPr="008C56BE">
          <w:rPr>
            <w:rStyle w:val="Hyperlink"/>
            <w:rFonts w:eastAsia="Arial" w:cs="Times New Roman"/>
            <w:i/>
            <w:color w:val="auto"/>
            <w:u w:val="none"/>
          </w:rPr>
          <w:t>fortune</w:t>
        </w:r>
      </w:hyperlink>
      <w:r w:rsidRPr="008C56BE">
        <w:rPr>
          <w:rFonts w:eastAsia="Arial" w:cs="Times New Roman"/>
          <w:i/>
        </w:rPr>
        <w:t xml:space="preserve"> </w:t>
      </w:r>
      <w:hyperlink r:id="rId27" w:history="1">
        <w:r w:rsidRPr="008C56BE">
          <w:rPr>
            <w:rStyle w:val="Hyperlink"/>
            <w:rFonts w:eastAsia="Arial" w:cs="Times New Roman"/>
            <w:i/>
            <w:color w:val="auto"/>
            <w:u w:val="none"/>
          </w:rPr>
          <w:t>or</w:t>
        </w:r>
      </w:hyperlink>
      <w:r w:rsidRPr="008C56BE">
        <w:rPr>
          <w:rFonts w:eastAsia="Arial" w:cs="Times New Roman"/>
          <w:i/>
        </w:rPr>
        <w:t xml:space="preserve"> </w:t>
      </w:r>
      <w:hyperlink r:id="rId28" w:history="1">
        <w:r w:rsidRPr="008C56BE">
          <w:rPr>
            <w:rStyle w:val="Hyperlink"/>
            <w:rFonts w:eastAsia="Arial" w:cs="Times New Roman"/>
            <w:i/>
            <w:color w:val="auto"/>
            <w:u w:val="none"/>
          </w:rPr>
          <w:t>propitious</w:t>
        </w:r>
      </w:hyperlink>
      <w:r w:rsidRPr="008C56BE">
        <w:rPr>
          <w:rFonts w:eastAsia="Arial" w:cs="Times New Roman"/>
          <w:i/>
        </w:rPr>
        <w:t xml:space="preserve"> </w:t>
      </w:r>
      <w:hyperlink r:id="rId29" w:history="1">
        <w:r w:rsidRPr="008C56BE">
          <w:rPr>
            <w:rStyle w:val="Hyperlink"/>
            <w:rFonts w:eastAsia="Arial" w:cs="Times New Roman"/>
            <w:i/>
            <w:color w:val="auto"/>
            <w:u w:val="none"/>
          </w:rPr>
          <w:t>happening</w:t>
        </w:r>
      </w:hyperlink>
      <w:r w:rsidRPr="008C56BE">
        <w:rPr>
          <w:rFonts w:eastAsia="Arial" w:cs="Times New Roman"/>
          <w:i/>
        </w:rPr>
        <w:t xml:space="preserve"> </w:t>
      </w:r>
      <w:hyperlink r:id="rId30" w:history="1">
        <w:r w:rsidRPr="008C56BE">
          <w:rPr>
            <w:rStyle w:val="Hyperlink"/>
            <w:rFonts w:eastAsia="Arial" w:cs="Times New Roman"/>
            <w:i/>
            <w:color w:val="auto"/>
            <w:u w:val="none"/>
          </w:rPr>
          <w:t>of</w:t>
        </w:r>
      </w:hyperlink>
      <w:r w:rsidRPr="008C56BE">
        <w:rPr>
          <w:rFonts w:eastAsia="Arial" w:cs="Times New Roman"/>
          <w:i/>
        </w:rPr>
        <w:t xml:space="preserve"> </w:t>
      </w:r>
      <w:hyperlink r:id="rId31" w:history="1">
        <w:r w:rsidRPr="008C56BE">
          <w:rPr>
            <w:rStyle w:val="Hyperlink"/>
            <w:rFonts w:eastAsia="Arial" w:cs="Times New Roman"/>
            <w:i/>
            <w:color w:val="auto"/>
            <w:u w:val="none"/>
          </w:rPr>
          <w:t>any</w:t>
        </w:r>
      </w:hyperlink>
      <w:r w:rsidRPr="008C56BE">
        <w:rPr>
          <w:rFonts w:eastAsia="Arial" w:cs="Times New Roman"/>
          <w:i/>
        </w:rPr>
        <w:t xml:space="preserve"> </w:t>
      </w:r>
      <w:hyperlink r:id="rId32" w:history="1">
        <w:r w:rsidRPr="008C56BE">
          <w:rPr>
            <w:rStyle w:val="Hyperlink"/>
            <w:rFonts w:eastAsia="Arial" w:cs="Times New Roman"/>
            <w:i/>
            <w:color w:val="auto"/>
            <w:u w:val="none"/>
          </w:rPr>
          <w:t>kind</w:t>
        </w:r>
      </w:hyperlink>
      <w:r w:rsidRPr="008C56BE">
        <w:rPr>
          <w:rFonts w:eastAsia="Arial" w:cs="Times New Roman"/>
          <w:i/>
        </w:rPr>
        <w:t xml:space="preserve">; </w:t>
      </w:r>
      <w:hyperlink r:id="rId33" w:history="1">
        <w:r w:rsidRPr="008C56BE">
          <w:rPr>
            <w:rStyle w:val="Hyperlink"/>
            <w:rFonts w:eastAsia="Arial" w:cs="Times New Roman"/>
            <w:i/>
            <w:color w:val="auto"/>
            <w:u w:val="none"/>
          </w:rPr>
          <w:t>the</w:t>
        </w:r>
      </w:hyperlink>
      <w:r w:rsidRPr="008C56BE">
        <w:rPr>
          <w:rFonts w:eastAsia="Arial" w:cs="Times New Roman"/>
          <w:i/>
        </w:rPr>
        <w:t xml:space="preserve"> </w:t>
      </w:r>
      <w:hyperlink r:id="rId34" w:history="1">
        <w:r w:rsidRPr="008C56BE">
          <w:rPr>
            <w:rStyle w:val="Hyperlink"/>
            <w:rFonts w:eastAsia="Arial" w:cs="Times New Roman"/>
            <w:i/>
            <w:color w:val="auto"/>
            <w:u w:val="none"/>
          </w:rPr>
          <w:t>possession</w:t>
        </w:r>
      </w:hyperlink>
      <w:r w:rsidRPr="008C56BE">
        <w:rPr>
          <w:rFonts w:eastAsia="Arial" w:cs="Times New Roman"/>
          <w:i/>
        </w:rPr>
        <w:t xml:space="preserve"> </w:t>
      </w:r>
      <w:hyperlink r:id="rId35" w:history="1">
        <w:r w:rsidRPr="008C56BE">
          <w:rPr>
            <w:rStyle w:val="Hyperlink"/>
            <w:rFonts w:eastAsia="Arial" w:cs="Times New Roman"/>
            <w:i/>
            <w:color w:val="auto"/>
            <w:u w:val="none"/>
          </w:rPr>
          <w:t>of</w:t>
        </w:r>
      </w:hyperlink>
      <w:r w:rsidRPr="008C56BE">
        <w:rPr>
          <w:rFonts w:eastAsia="Arial" w:cs="Times New Roman"/>
          <w:i/>
        </w:rPr>
        <w:t xml:space="preserve"> </w:t>
      </w:r>
      <w:hyperlink r:id="rId36" w:history="1">
        <w:r w:rsidRPr="008C56BE">
          <w:rPr>
            <w:rStyle w:val="Hyperlink"/>
            <w:rFonts w:eastAsia="Arial" w:cs="Times New Roman"/>
            <w:i/>
            <w:color w:val="auto"/>
            <w:u w:val="none"/>
          </w:rPr>
          <w:t>those</w:t>
        </w:r>
      </w:hyperlink>
      <w:r w:rsidRPr="008C56BE">
        <w:rPr>
          <w:rFonts w:eastAsia="Arial" w:cs="Times New Roman"/>
          <w:i/>
        </w:rPr>
        <w:t xml:space="preserve"> </w:t>
      </w:r>
      <w:hyperlink r:id="rId37" w:history="1">
        <w:r w:rsidRPr="008C56BE">
          <w:rPr>
            <w:rStyle w:val="Hyperlink"/>
            <w:rFonts w:eastAsia="Arial" w:cs="Times New Roman"/>
            <w:i/>
            <w:color w:val="auto"/>
            <w:u w:val="none"/>
          </w:rPr>
          <w:t>circumstances</w:t>
        </w:r>
      </w:hyperlink>
      <w:r w:rsidRPr="008C56BE">
        <w:rPr>
          <w:rFonts w:eastAsia="Arial" w:cs="Times New Roman"/>
          <w:i/>
        </w:rPr>
        <w:t xml:space="preserve"> </w:t>
      </w:r>
      <w:hyperlink r:id="rId38" w:history="1">
        <w:r w:rsidRPr="008C56BE">
          <w:rPr>
            <w:rStyle w:val="Hyperlink"/>
            <w:rFonts w:eastAsia="Arial" w:cs="Times New Roman"/>
            <w:i/>
            <w:color w:val="auto"/>
            <w:u w:val="none"/>
          </w:rPr>
          <w:t>or</w:t>
        </w:r>
      </w:hyperlink>
      <w:r w:rsidRPr="008C56BE">
        <w:rPr>
          <w:rFonts w:eastAsia="Arial" w:cs="Times New Roman"/>
          <w:i/>
        </w:rPr>
        <w:t xml:space="preserve"> </w:t>
      </w:r>
      <w:hyperlink r:id="rId39" w:history="1">
        <w:r w:rsidRPr="008C56BE">
          <w:rPr>
            <w:rStyle w:val="Hyperlink"/>
            <w:rFonts w:eastAsia="Arial" w:cs="Times New Roman"/>
            <w:i/>
            <w:color w:val="auto"/>
            <w:u w:val="none"/>
          </w:rPr>
          <w:t>that</w:t>
        </w:r>
      </w:hyperlink>
      <w:r w:rsidRPr="008C56BE">
        <w:rPr>
          <w:rFonts w:eastAsia="Arial" w:cs="Times New Roman"/>
          <w:i/>
        </w:rPr>
        <w:t xml:space="preserve"> </w:t>
      </w:r>
      <w:hyperlink r:id="rId40" w:history="1">
        <w:r w:rsidRPr="008C56BE">
          <w:rPr>
            <w:rStyle w:val="Hyperlink"/>
            <w:rFonts w:eastAsia="Arial" w:cs="Times New Roman"/>
            <w:i/>
            <w:color w:val="auto"/>
            <w:u w:val="none"/>
          </w:rPr>
          <w:t>state</w:t>
        </w:r>
      </w:hyperlink>
      <w:r w:rsidRPr="008C56BE">
        <w:rPr>
          <w:rFonts w:eastAsia="Arial" w:cs="Times New Roman"/>
          <w:i/>
        </w:rPr>
        <w:t xml:space="preserve"> </w:t>
      </w:r>
      <w:hyperlink r:id="rId41" w:history="1">
        <w:r w:rsidRPr="008C56BE">
          <w:rPr>
            <w:rStyle w:val="Hyperlink"/>
            <w:rFonts w:eastAsia="Arial" w:cs="Times New Roman"/>
            <w:i/>
            <w:color w:val="auto"/>
            <w:u w:val="none"/>
          </w:rPr>
          <w:t>of</w:t>
        </w:r>
      </w:hyperlink>
      <w:r w:rsidRPr="008C56BE">
        <w:rPr>
          <w:rFonts w:eastAsia="Arial" w:cs="Times New Roman"/>
          <w:i/>
        </w:rPr>
        <w:t xml:space="preserve"> </w:t>
      </w:r>
      <w:hyperlink r:id="rId42" w:history="1">
        <w:r w:rsidRPr="008C56BE">
          <w:rPr>
            <w:rStyle w:val="Hyperlink"/>
            <w:rFonts w:eastAsia="Arial" w:cs="Times New Roman"/>
            <w:i/>
            <w:color w:val="auto"/>
            <w:u w:val="none"/>
          </w:rPr>
          <w:t>being</w:t>
        </w:r>
      </w:hyperlink>
      <w:r w:rsidRPr="008C56BE">
        <w:rPr>
          <w:rFonts w:eastAsia="Arial" w:cs="Times New Roman"/>
          <w:i/>
        </w:rPr>
        <w:t xml:space="preserve"> </w:t>
      </w:r>
      <w:hyperlink r:id="rId43" w:history="1">
        <w:r w:rsidRPr="008C56BE">
          <w:rPr>
            <w:rStyle w:val="Hyperlink"/>
            <w:rFonts w:eastAsia="Arial" w:cs="Times New Roman"/>
            <w:i/>
            <w:color w:val="auto"/>
            <w:u w:val="none"/>
          </w:rPr>
          <w:t>which</w:t>
        </w:r>
      </w:hyperlink>
      <w:r w:rsidRPr="008C56BE">
        <w:rPr>
          <w:rFonts w:eastAsia="Arial" w:cs="Times New Roman"/>
          <w:i/>
        </w:rPr>
        <w:t xml:space="preserve"> </w:t>
      </w:r>
      <w:hyperlink r:id="rId44" w:history="1">
        <w:r w:rsidRPr="008C56BE">
          <w:rPr>
            <w:rStyle w:val="Hyperlink"/>
            <w:rFonts w:eastAsia="Arial" w:cs="Times New Roman"/>
            <w:i/>
            <w:color w:val="auto"/>
            <w:u w:val="none"/>
          </w:rPr>
          <w:t>is</w:t>
        </w:r>
      </w:hyperlink>
      <w:r w:rsidRPr="008C56BE">
        <w:rPr>
          <w:rFonts w:eastAsia="Arial" w:cs="Times New Roman"/>
          <w:i/>
        </w:rPr>
        <w:t xml:space="preserve"> </w:t>
      </w:r>
      <w:hyperlink r:id="rId45" w:history="1">
        <w:r w:rsidRPr="008C56BE">
          <w:rPr>
            <w:rStyle w:val="Hyperlink"/>
            <w:rFonts w:eastAsia="Arial" w:cs="Times New Roman"/>
            <w:i/>
            <w:color w:val="auto"/>
            <w:u w:val="none"/>
          </w:rPr>
          <w:t>attended</w:t>
        </w:r>
      </w:hyperlink>
      <w:r w:rsidRPr="008C56BE">
        <w:rPr>
          <w:rFonts w:eastAsia="Arial" w:cs="Times New Roman"/>
          <w:i/>
        </w:rPr>
        <w:t xml:space="preserve"> </w:t>
      </w:r>
      <w:hyperlink r:id="rId46" w:history="1">
        <w:r w:rsidRPr="008C56BE">
          <w:rPr>
            <w:rStyle w:val="Hyperlink"/>
            <w:rFonts w:eastAsia="Arial" w:cs="Times New Roman"/>
            <w:i/>
            <w:color w:val="auto"/>
            <w:u w:val="none"/>
          </w:rPr>
          <w:t>with</w:t>
        </w:r>
      </w:hyperlink>
      <w:r w:rsidRPr="008C56BE">
        <w:rPr>
          <w:rFonts w:eastAsia="Arial" w:cs="Times New Roman"/>
          <w:i/>
        </w:rPr>
        <w:t xml:space="preserve"> </w:t>
      </w:r>
      <w:hyperlink r:id="rId47" w:history="1">
        <w:r w:rsidRPr="008C56BE">
          <w:rPr>
            <w:rStyle w:val="Hyperlink"/>
            <w:rFonts w:eastAsia="Arial" w:cs="Times New Roman"/>
            <w:i/>
            <w:color w:val="auto"/>
            <w:u w:val="none"/>
          </w:rPr>
          <w:t>enjoyment</w:t>
        </w:r>
      </w:hyperlink>
      <w:r w:rsidRPr="008C56BE">
        <w:rPr>
          <w:rFonts w:eastAsia="Arial" w:cs="Times New Roman"/>
          <w:i/>
        </w:rPr>
        <w:t xml:space="preserve">; </w:t>
      </w:r>
      <w:hyperlink r:id="rId48" w:history="1">
        <w:r w:rsidRPr="008C56BE">
          <w:rPr>
            <w:rStyle w:val="Hyperlink"/>
            <w:rFonts w:eastAsia="Arial" w:cs="Times New Roman"/>
            <w:i/>
            <w:color w:val="auto"/>
            <w:u w:val="none"/>
          </w:rPr>
          <w:t>the</w:t>
        </w:r>
      </w:hyperlink>
      <w:r w:rsidRPr="008C56BE">
        <w:rPr>
          <w:rFonts w:eastAsia="Arial" w:cs="Times New Roman"/>
          <w:i/>
        </w:rPr>
        <w:t xml:space="preserve"> </w:t>
      </w:r>
      <w:hyperlink r:id="rId49" w:history="1">
        <w:r w:rsidRPr="008C56BE">
          <w:rPr>
            <w:rStyle w:val="Hyperlink"/>
            <w:rFonts w:eastAsia="Arial" w:cs="Times New Roman"/>
            <w:i/>
            <w:color w:val="auto"/>
            <w:u w:val="none"/>
          </w:rPr>
          <w:t>state</w:t>
        </w:r>
      </w:hyperlink>
      <w:r w:rsidRPr="008C56BE">
        <w:rPr>
          <w:rFonts w:eastAsia="Arial" w:cs="Times New Roman"/>
          <w:i/>
        </w:rPr>
        <w:t xml:space="preserve"> </w:t>
      </w:r>
      <w:hyperlink r:id="rId50" w:history="1">
        <w:r w:rsidRPr="008C56BE">
          <w:rPr>
            <w:rStyle w:val="Hyperlink"/>
            <w:rFonts w:eastAsia="Arial" w:cs="Times New Roman"/>
            <w:i/>
            <w:color w:val="auto"/>
            <w:u w:val="none"/>
          </w:rPr>
          <w:t>of</w:t>
        </w:r>
      </w:hyperlink>
      <w:r w:rsidRPr="008C56BE">
        <w:rPr>
          <w:rFonts w:eastAsia="Arial" w:cs="Times New Roman"/>
          <w:i/>
        </w:rPr>
        <w:t xml:space="preserve"> </w:t>
      </w:r>
      <w:hyperlink r:id="rId51" w:history="1">
        <w:r w:rsidRPr="008C56BE">
          <w:rPr>
            <w:rStyle w:val="Hyperlink"/>
            <w:rFonts w:eastAsia="Arial" w:cs="Times New Roman"/>
            <w:i/>
            <w:color w:val="auto"/>
            <w:u w:val="none"/>
          </w:rPr>
          <w:t>being</w:t>
        </w:r>
      </w:hyperlink>
      <w:r w:rsidRPr="008C56BE">
        <w:rPr>
          <w:rFonts w:eastAsia="Arial" w:cs="Times New Roman"/>
          <w:i/>
        </w:rPr>
        <w:t xml:space="preserve"> </w:t>
      </w:r>
      <w:hyperlink r:id="rId52" w:history="1">
        <w:r w:rsidRPr="008C56BE">
          <w:rPr>
            <w:rStyle w:val="Hyperlink"/>
            <w:rFonts w:eastAsia="Arial" w:cs="Times New Roman"/>
            <w:i/>
            <w:color w:val="auto"/>
            <w:u w:val="none"/>
          </w:rPr>
          <w:t>happy</w:t>
        </w:r>
      </w:hyperlink>
      <w:r w:rsidRPr="008C56BE">
        <w:rPr>
          <w:rFonts w:eastAsia="Arial" w:cs="Times New Roman"/>
          <w:i/>
        </w:rPr>
        <w:t xml:space="preserve">; </w:t>
      </w:r>
      <w:hyperlink r:id="rId53" w:history="1">
        <w:r w:rsidRPr="008C56BE">
          <w:rPr>
            <w:rStyle w:val="Hyperlink"/>
            <w:rFonts w:eastAsia="Arial" w:cs="Times New Roman"/>
            <w:i/>
            <w:color w:val="auto"/>
            <w:u w:val="none"/>
          </w:rPr>
          <w:t>contentment</w:t>
        </w:r>
      </w:hyperlink>
      <w:r w:rsidRPr="008C56BE">
        <w:rPr>
          <w:rFonts w:eastAsia="Arial" w:cs="Times New Roman"/>
          <w:i/>
        </w:rPr>
        <w:t xml:space="preserve">; </w:t>
      </w:r>
      <w:hyperlink r:id="rId54" w:history="1">
        <w:r w:rsidRPr="008C56BE">
          <w:rPr>
            <w:rStyle w:val="Hyperlink"/>
            <w:rFonts w:eastAsia="Arial" w:cs="Times New Roman"/>
            <w:i/>
            <w:color w:val="auto"/>
            <w:u w:val="none"/>
          </w:rPr>
          <w:t>joyful</w:t>
        </w:r>
      </w:hyperlink>
      <w:r w:rsidRPr="008C56BE">
        <w:rPr>
          <w:rFonts w:eastAsia="Arial" w:cs="Times New Roman"/>
          <w:i/>
        </w:rPr>
        <w:t xml:space="preserve"> </w:t>
      </w:r>
      <w:hyperlink r:id="rId55" w:history="1">
        <w:r w:rsidRPr="008C56BE">
          <w:rPr>
            <w:rStyle w:val="Hyperlink"/>
            <w:rFonts w:eastAsia="Arial" w:cs="Times New Roman"/>
            <w:i/>
            <w:color w:val="auto"/>
            <w:u w:val="none"/>
          </w:rPr>
          <w:t>satisfaction</w:t>
        </w:r>
      </w:hyperlink>
      <w:r w:rsidRPr="008C56BE">
        <w:rPr>
          <w:rFonts w:eastAsia="Arial" w:cs="Times New Roman"/>
          <w:i/>
        </w:rPr>
        <w:t xml:space="preserve">; </w:t>
      </w:r>
      <w:hyperlink r:id="rId56" w:history="1">
        <w:r w:rsidRPr="008C56BE">
          <w:rPr>
            <w:rStyle w:val="Hyperlink"/>
            <w:rFonts w:eastAsia="Arial" w:cs="Times New Roman"/>
            <w:i/>
            <w:color w:val="auto"/>
            <w:u w:val="none"/>
          </w:rPr>
          <w:t>felicity</w:t>
        </w:r>
      </w:hyperlink>
      <w:r w:rsidRPr="008C56BE">
        <w:rPr>
          <w:rFonts w:eastAsia="Arial" w:cs="Times New Roman"/>
          <w:i/>
        </w:rPr>
        <w:t xml:space="preserve">; </w:t>
      </w:r>
      <w:hyperlink r:id="rId57" w:history="1">
        <w:r w:rsidRPr="008C56BE">
          <w:rPr>
            <w:rStyle w:val="Hyperlink"/>
            <w:rFonts w:eastAsia="Arial" w:cs="Times New Roman"/>
            <w:i/>
            <w:color w:val="auto"/>
            <w:u w:val="none"/>
          </w:rPr>
          <w:t>blessedness</w:t>
        </w:r>
      </w:hyperlink>
      <w:r w:rsidRPr="008C56BE">
        <w:rPr>
          <w:rFonts w:eastAsia="Arial" w:cs="Times New Roman"/>
          <w:i/>
        </w:rPr>
        <w:t>.</w:t>
      </w:r>
    </w:p>
    <w:p w:rsidR="008C56BE" w:rsidRPr="008C56BE" w:rsidRDefault="008C56BE" w:rsidP="008C56BE">
      <w:pPr>
        <w:tabs>
          <w:tab w:val="left" w:pos="300"/>
          <w:tab w:val="left" w:pos="2010"/>
        </w:tabs>
        <w:ind w:left="45"/>
        <w:rPr>
          <w:rFonts w:eastAsia="Arial" w:cs="Times New Roman"/>
          <w:i/>
        </w:rPr>
      </w:pPr>
      <w:r w:rsidRPr="008C56BE">
        <w:rPr>
          <w:rFonts w:eastAsia="Arial" w:cs="Times New Roman"/>
          <w:bCs/>
          <w:i/>
        </w:rPr>
        <w:t xml:space="preserve">3.          </w:t>
      </w:r>
      <w:hyperlink r:id="rId58" w:history="1">
        <w:r w:rsidRPr="008C56BE">
          <w:rPr>
            <w:rStyle w:val="Hyperlink"/>
            <w:rFonts w:eastAsia="Arial" w:cs="Times New Roman"/>
            <w:i/>
            <w:color w:val="auto"/>
            <w:u w:val="none"/>
          </w:rPr>
          <w:t>Fortuitous</w:t>
        </w:r>
      </w:hyperlink>
      <w:r w:rsidRPr="008C56BE">
        <w:rPr>
          <w:rFonts w:eastAsia="Arial" w:cs="Times New Roman"/>
          <w:i/>
        </w:rPr>
        <w:t xml:space="preserve"> </w:t>
      </w:r>
      <w:hyperlink r:id="rId59" w:history="1">
        <w:r w:rsidRPr="008C56BE">
          <w:rPr>
            <w:rStyle w:val="Hyperlink"/>
            <w:rFonts w:eastAsia="Arial" w:cs="Times New Roman"/>
            <w:i/>
            <w:color w:val="auto"/>
            <w:u w:val="none"/>
          </w:rPr>
          <w:t>elegance</w:t>
        </w:r>
      </w:hyperlink>
      <w:r w:rsidRPr="008C56BE">
        <w:rPr>
          <w:rFonts w:eastAsia="Arial" w:cs="Times New Roman"/>
          <w:i/>
        </w:rPr>
        <w:t xml:space="preserve">; </w:t>
      </w:r>
      <w:hyperlink r:id="rId60" w:history="1">
        <w:r w:rsidRPr="008C56BE">
          <w:rPr>
            <w:rStyle w:val="Hyperlink"/>
            <w:rFonts w:eastAsia="Arial" w:cs="Times New Roman"/>
            <w:i/>
            <w:color w:val="auto"/>
            <w:u w:val="none"/>
          </w:rPr>
          <w:t>unstudied</w:t>
        </w:r>
      </w:hyperlink>
      <w:r w:rsidRPr="008C56BE">
        <w:rPr>
          <w:rFonts w:eastAsia="Arial" w:cs="Times New Roman"/>
          <w:i/>
        </w:rPr>
        <w:t xml:space="preserve"> </w:t>
      </w:r>
      <w:hyperlink r:id="rId61" w:history="1">
        <w:r w:rsidRPr="008C56BE">
          <w:rPr>
            <w:rStyle w:val="Hyperlink"/>
            <w:rFonts w:eastAsia="Arial" w:cs="Times New Roman"/>
            <w:i/>
            <w:color w:val="auto"/>
            <w:u w:val="none"/>
          </w:rPr>
          <w:t>grace</w:t>
        </w:r>
      </w:hyperlink>
      <w:r w:rsidRPr="008C56BE">
        <w:rPr>
          <w:rFonts w:eastAsia="Arial" w:cs="Times New Roman"/>
          <w:i/>
        </w:rPr>
        <w:t xml:space="preserve">; - </w:t>
      </w:r>
      <w:hyperlink r:id="rId62" w:history="1">
        <w:r w:rsidRPr="008C56BE">
          <w:rPr>
            <w:rStyle w:val="Hyperlink"/>
            <w:rFonts w:eastAsia="Arial" w:cs="Times New Roman"/>
            <w:i/>
            <w:color w:val="auto"/>
            <w:u w:val="none"/>
          </w:rPr>
          <w:t>used</w:t>
        </w:r>
      </w:hyperlink>
      <w:r w:rsidRPr="008C56BE">
        <w:rPr>
          <w:rFonts w:eastAsia="Arial" w:cs="Times New Roman"/>
          <w:i/>
        </w:rPr>
        <w:t xml:space="preserve"> </w:t>
      </w:r>
      <w:hyperlink r:id="rId63" w:history="1">
        <w:r w:rsidRPr="008C56BE">
          <w:rPr>
            <w:rStyle w:val="Hyperlink"/>
            <w:rFonts w:eastAsia="Arial" w:cs="Times New Roman"/>
            <w:i/>
            <w:color w:val="auto"/>
            <w:u w:val="none"/>
          </w:rPr>
          <w:t>especially</w:t>
        </w:r>
      </w:hyperlink>
      <w:r w:rsidRPr="008C56BE">
        <w:rPr>
          <w:rFonts w:eastAsia="Arial" w:cs="Times New Roman"/>
          <w:i/>
        </w:rPr>
        <w:t xml:space="preserve"> </w:t>
      </w:r>
      <w:hyperlink r:id="rId64" w:history="1">
        <w:r w:rsidRPr="008C56BE">
          <w:rPr>
            <w:rStyle w:val="Hyperlink"/>
            <w:rFonts w:eastAsia="Arial" w:cs="Times New Roman"/>
            <w:i/>
            <w:color w:val="auto"/>
            <w:u w:val="none"/>
          </w:rPr>
          <w:t>of</w:t>
        </w:r>
      </w:hyperlink>
      <w:r w:rsidRPr="008C56BE">
        <w:rPr>
          <w:rFonts w:eastAsia="Arial" w:cs="Times New Roman"/>
          <w:i/>
        </w:rPr>
        <w:t xml:space="preserve"> </w:t>
      </w:r>
      <w:hyperlink r:id="rId65" w:history="1">
        <w:r w:rsidRPr="008C56BE">
          <w:rPr>
            <w:rStyle w:val="Hyperlink"/>
            <w:rFonts w:eastAsia="Arial" w:cs="Times New Roman"/>
            <w:i/>
            <w:color w:val="auto"/>
            <w:u w:val="none"/>
          </w:rPr>
          <w:t>language</w:t>
        </w:r>
      </w:hyperlink>
      <w:r w:rsidRPr="008C56BE">
        <w:rPr>
          <w:rFonts w:eastAsia="Arial" w:cs="Times New Roman"/>
          <w:i/>
        </w:rPr>
        <w:t>.</w:t>
      </w:r>
    </w:p>
    <w:p w:rsidR="008C56BE" w:rsidRDefault="008C56BE" w:rsidP="008C56BE">
      <w:pPr>
        <w:rPr>
          <w:rFonts w:eastAsia="Arial" w:cs="Times New Roman"/>
        </w:rPr>
      </w:pPr>
    </w:p>
    <w:p w:rsidR="008C56BE" w:rsidRDefault="008C56BE" w:rsidP="008C56BE">
      <w:pPr>
        <w:rPr>
          <w:rFonts w:eastAsia="Arial" w:cs="Times New Roman"/>
        </w:rPr>
      </w:pPr>
      <w:r w:rsidRPr="00EB33BE">
        <w:rPr>
          <w:rFonts w:eastAsia="Arial" w:cs="Times New Roman"/>
          <w:b/>
        </w:rPr>
        <w:t>Comment:</w:t>
      </w:r>
      <w:r>
        <w:rPr>
          <w:rFonts w:eastAsia="Arial" w:cs="Times New Roman"/>
        </w:rPr>
        <w:t xml:space="preserve"> all of the 1828 encumbrances have disappeared.</w:t>
      </w:r>
    </w:p>
    <w:p w:rsidR="008C56BE" w:rsidRDefault="008C56BE" w:rsidP="008C56BE">
      <w:pPr>
        <w:tabs>
          <w:tab w:val="left" w:pos="300"/>
          <w:tab w:val="left" w:pos="2010"/>
        </w:tabs>
        <w:ind w:left="45"/>
        <w:rPr>
          <w:rFonts w:eastAsia="Arial" w:cs="Times New Roman"/>
        </w:rPr>
      </w:pPr>
    </w:p>
    <w:p w:rsidR="008C56BE" w:rsidRPr="000F44ED" w:rsidRDefault="008C56BE" w:rsidP="008C56BE">
      <w:pPr>
        <w:tabs>
          <w:tab w:val="left" w:pos="300"/>
          <w:tab w:val="left" w:pos="2010"/>
        </w:tabs>
        <w:ind w:left="45"/>
        <w:rPr>
          <w:rFonts w:eastAsia="Arial" w:cs="Times New Roman"/>
          <w:b/>
        </w:rPr>
      </w:pPr>
      <w:r w:rsidRPr="000F44ED">
        <w:rPr>
          <w:rFonts w:eastAsia="Arial" w:cs="Times New Roman"/>
          <w:b/>
        </w:rPr>
        <w:fldChar w:fldCharType="begin"/>
      </w:r>
      <w:r w:rsidRPr="000F44ED">
        <w:rPr>
          <w:rFonts w:eastAsia="Arial" w:cs="Times New Roman"/>
          <w:b/>
        </w:rPr>
        <w:instrText xml:space="preserve"> ADDIN EN.CITE &lt;EndNote&gt;&lt;Cite&gt;&lt;Author&gt;Merriam-Webster&lt;/Author&gt;&lt;Year&gt;2019&lt;/Year&gt;&lt;RecNum&gt;696&lt;/RecNum&gt;&lt;DisplayText&gt;(Merriam-Webster, 2019)&lt;/DisplayText&gt;&lt;record&gt;&lt;rec-number&gt;696&lt;/rec-number&gt;&lt;foreign-keys&gt;&lt;key app="EN" db-id="z2xarpe9cfrvp4ezdxk5ddx9dsrzr05f22sa" timestamp="1343947790"&gt;696&lt;/key&gt;&lt;/foreign-keys&gt;&lt;ref-type name="Web Page"&gt;12&lt;/ref-type&gt;&lt;contributors&gt;&lt;authors&gt;&lt;author&gt;Merriam-Webster,&lt;/author&gt;&lt;/authors&gt;&lt;/contributors&gt;&lt;titles&gt;&lt;title&gt;Online dictionary&lt;/title&gt;&lt;/titles&gt;&lt;number&gt;24 September 2019&lt;/number&gt;&lt;dates&gt;&lt;year&gt;2019&lt;/year&gt;&lt;/dates&gt;&lt;urls&gt;&lt;related-urls&gt;&lt;url&gt;http://www.merriam-webster.com&lt;/url&gt;&lt;/related-urls&gt;&lt;/urls&gt;&lt;/record&gt;&lt;/Cite&gt;&lt;/EndNote&gt;</w:instrText>
      </w:r>
      <w:r w:rsidRPr="000F44ED">
        <w:rPr>
          <w:rFonts w:eastAsia="Arial" w:cs="Times New Roman"/>
          <w:b/>
        </w:rPr>
        <w:fldChar w:fldCharType="separate"/>
      </w:r>
      <w:r w:rsidRPr="000F44ED">
        <w:rPr>
          <w:rFonts w:eastAsia="Arial" w:cs="Times New Roman"/>
          <w:b/>
          <w:noProof/>
        </w:rPr>
        <w:t>(Merriam-Webster, 2019)</w:t>
      </w:r>
      <w:r w:rsidRPr="000F44ED">
        <w:rPr>
          <w:rFonts w:eastAsia="Arial" w:cs="Times New Roman"/>
          <w:b/>
        </w:rPr>
        <w:fldChar w:fldCharType="end"/>
      </w:r>
    </w:p>
    <w:p w:rsidR="008C56BE" w:rsidRPr="008C56BE" w:rsidRDefault="008C56BE" w:rsidP="008C56BE">
      <w:pPr>
        <w:tabs>
          <w:tab w:val="left" w:pos="300"/>
          <w:tab w:val="left" w:pos="2010"/>
        </w:tabs>
        <w:ind w:left="45"/>
        <w:rPr>
          <w:rFonts w:eastAsia="Arial" w:cs="Times New Roman"/>
          <w:i/>
        </w:rPr>
      </w:pPr>
      <w:r w:rsidRPr="00EB33BE">
        <w:rPr>
          <w:rFonts w:eastAsia="Arial" w:cs="Times New Roman"/>
          <w:i/>
        </w:rPr>
        <w:t>1</w:t>
      </w:r>
      <w:proofErr w:type="gramStart"/>
      <w:r w:rsidRPr="00EB33BE">
        <w:rPr>
          <w:rFonts w:eastAsia="Arial" w:cs="Times New Roman"/>
          <w:i/>
        </w:rPr>
        <w:t xml:space="preserve">a </w:t>
      </w:r>
      <w:r w:rsidRPr="00EB33BE">
        <w:rPr>
          <w:rFonts w:eastAsia="Arial" w:cs="Times New Roman"/>
          <w:b/>
          <w:bCs/>
          <w:i/>
        </w:rPr>
        <w:t>:</w:t>
      </w:r>
      <w:proofErr w:type="gramEnd"/>
      <w:r w:rsidRPr="00EB33BE">
        <w:rPr>
          <w:rFonts w:eastAsia="Arial" w:cs="Times New Roman"/>
          <w:b/>
          <w:bCs/>
          <w:i/>
        </w:rPr>
        <w:t xml:space="preserve">      </w:t>
      </w:r>
      <w:r w:rsidRPr="00EB33BE">
        <w:rPr>
          <w:rFonts w:eastAsia="Arial" w:cs="Times New Roman"/>
          <w:i/>
        </w:rPr>
        <w:t>a state of well-being and conten</w:t>
      </w:r>
      <w:r w:rsidRPr="008C56BE">
        <w:rPr>
          <w:rFonts w:eastAsia="Arial" w:cs="Times New Roman"/>
          <w:i/>
        </w:rPr>
        <w:t xml:space="preserve">tment </w:t>
      </w:r>
      <w:r w:rsidRPr="008C56BE">
        <w:rPr>
          <w:rFonts w:eastAsia="Arial" w:cs="Times New Roman"/>
          <w:b/>
          <w:bCs/>
          <w:i/>
        </w:rPr>
        <w:t xml:space="preserve">: </w:t>
      </w:r>
      <w:hyperlink r:id="rId66" w:history="1">
        <w:r w:rsidRPr="008C56BE">
          <w:rPr>
            <w:rStyle w:val="Hyperlink"/>
            <w:rFonts w:eastAsia="Arial" w:cs="Times New Roman"/>
            <w:i/>
            <w:color w:val="auto"/>
            <w:u w:val="none"/>
          </w:rPr>
          <w:t>joy</w:t>
        </w:r>
      </w:hyperlink>
      <w:r w:rsidRPr="008C56BE">
        <w:rPr>
          <w:rFonts w:eastAsia="Arial" w:cs="Times New Roman"/>
          <w:i/>
        </w:rPr>
        <w:t xml:space="preserve"> </w:t>
      </w:r>
    </w:p>
    <w:p w:rsidR="008C56BE" w:rsidRPr="008C56BE" w:rsidRDefault="008C56BE" w:rsidP="008C56BE">
      <w:pPr>
        <w:tabs>
          <w:tab w:val="left" w:pos="300"/>
          <w:tab w:val="left" w:pos="2010"/>
        </w:tabs>
        <w:ind w:left="45"/>
        <w:rPr>
          <w:rFonts w:eastAsia="Arial" w:cs="Times New Roman"/>
          <w:i/>
        </w:rPr>
      </w:pPr>
      <w:r w:rsidRPr="008C56BE">
        <w:rPr>
          <w:rFonts w:eastAsia="Arial" w:cs="Times New Roman"/>
          <w:i/>
        </w:rPr>
        <w:t xml:space="preserve">  </w:t>
      </w:r>
      <w:proofErr w:type="gramStart"/>
      <w:r w:rsidRPr="008C56BE">
        <w:rPr>
          <w:rFonts w:eastAsia="Arial" w:cs="Times New Roman"/>
          <w:i/>
        </w:rPr>
        <w:t xml:space="preserve">b </w:t>
      </w:r>
      <w:r w:rsidRPr="008C56BE">
        <w:rPr>
          <w:rFonts w:eastAsia="Arial" w:cs="Times New Roman"/>
          <w:b/>
          <w:bCs/>
          <w:i/>
        </w:rPr>
        <w:t>:</w:t>
      </w:r>
      <w:proofErr w:type="gramEnd"/>
      <w:r w:rsidRPr="008C56BE">
        <w:rPr>
          <w:rFonts w:eastAsia="Arial" w:cs="Times New Roman"/>
          <w:b/>
          <w:bCs/>
          <w:i/>
        </w:rPr>
        <w:t xml:space="preserve">      </w:t>
      </w:r>
      <w:r w:rsidRPr="008C56BE">
        <w:rPr>
          <w:rFonts w:eastAsia="Arial" w:cs="Times New Roman"/>
          <w:i/>
        </w:rPr>
        <w:t xml:space="preserve">a pleasurable or satisfying experience. </w:t>
      </w:r>
    </w:p>
    <w:p w:rsidR="008C56BE" w:rsidRPr="008C56BE" w:rsidRDefault="008C56BE" w:rsidP="008C56BE">
      <w:pPr>
        <w:tabs>
          <w:tab w:val="left" w:pos="300"/>
          <w:tab w:val="left" w:pos="2010"/>
        </w:tabs>
        <w:ind w:left="45"/>
        <w:rPr>
          <w:rFonts w:eastAsia="Arial" w:cs="Times New Roman"/>
          <w:i/>
        </w:rPr>
      </w:pPr>
      <w:r w:rsidRPr="008C56BE">
        <w:rPr>
          <w:rFonts w:eastAsia="Arial" w:cs="Times New Roman"/>
          <w:i/>
        </w:rPr>
        <w:t xml:space="preserve">2 </w:t>
      </w:r>
      <w:r w:rsidRPr="008C56BE">
        <w:rPr>
          <w:rFonts w:eastAsia="Arial" w:cs="Times New Roman"/>
          <w:b/>
          <w:bCs/>
          <w:i/>
        </w:rPr>
        <w:t xml:space="preserve">:       </w:t>
      </w:r>
      <w:hyperlink r:id="rId67" w:history="1">
        <w:r w:rsidRPr="008C56BE">
          <w:rPr>
            <w:rStyle w:val="Hyperlink"/>
            <w:rFonts w:eastAsia="Arial" w:cs="Times New Roman"/>
            <w:i/>
            <w:color w:val="auto"/>
            <w:u w:val="none"/>
          </w:rPr>
          <w:t>felicity</w:t>
        </w:r>
      </w:hyperlink>
      <w:r w:rsidRPr="008C56BE">
        <w:rPr>
          <w:rFonts w:eastAsia="Arial" w:cs="Times New Roman"/>
          <w:i/>
        </w:rPr>
        <w:t xml:space="preserve">, </w:t>
      </w:r>
      <w:hyperlink r:id="rId68" w:history="1">
        <w:r w:rsidRPr="008C56BE">
          <w:rPr>
            <w:rStyle w:val="Hyperlink"/>
            <w:rFonts w:eastAsia="Arial" w:cs="Times New Roman"/>
            <w:i/>
            <w:color w:val="auto"/>
            <w:u w:val="none"/>
          </w:rPr>
          <w:t>aptness</w:t>
        </w:r>
      </w:hyperlink>
      <w:r w:rsidRPr="008C56BE">
        <w:rPr>
          <w:rFonts w:eastAsia="Arial" w:cs="Times New Roman"/>
          <w:i/>
        </w:rPr>
        <w:t xml:space="preserve"> a striking happiness of expression </w:t>
      </w:r>
    </w:p>
    <w:p w:rsidR="008C56BE" w:rsidRPr="008C56BE" w:rsidRDefault="008C56BE" w:rsidP="008C56BE">
      <w:pPr>
        <w:tabs>
          <w:tab w:val="left" w:pos="300"/>
          <w:tab w:val="left" w:pos="2010"/>
        </w:tabs>
        <w:ind w:left="45"/>
        <w:rPr>
          <w:rFonts w:eastAsia="Arial" w:cs="Times New Roman"/>
          <w:i/>
        </w:rPr>
      </w:pPr>
      <w:r w:rsidRPr="008C56BE">
        <w:rPr>
          <w:rFonts w:eastAsia="Arial" w:cs="Times New Roman"/>
          <w:i/>
        </w:rPr>
        <w:t xml:space="preserve">3          </w:t>
      </w:r>
      <w:proofErr w:type="gramStart"/>
      <w:r w:rsidRPr="008C56BE">
        <w:rPr>
          <w:rFonts w:eastAsia="Arial" w:cs="Times New Roman"/>
          <w:i/>
        </w:rPr>
        <w:t xml:space="preserve">obsolete </w:t>
      </w:r>
      <w:r w:rsidRPr="008C56BE">
        <w:rPr>
          <w:rFonts w:eastAsia="Arial" w:cs="Times New Roman"/>
          <w:b/>
          <w:bCs/>
          <w:i/>
        </w:rPr>
        <w:t>:</w:t>
      </w:r>
      <w:proofErr w:type="gramEnd"/>
      <w:r w:rsidRPr="008C56BE">
        <w:rPr>
          <w:rFonts w:eastAsia="Arial" w:cs="Times New Roman"/>
          <w:b/>
          <w:bCs/>
          <w:i/>
        </w:rPr>
        <w:t xml:space="preserve"> </w:t>
      </w:r>
      <w:r w:rsidRPr="008C56BE">
        <w:rPr>
          <w:rFonts w:eastAsia="Arial" w:cs="Times New Roman"/>
          <w:i/>
        </w:rPr>
        <w:t xml:space="preserve">good fortune </w:t>
      </w:r>
      <w:r w:rsidRPr="008C56BE">
        <w:rPr>
          <w:rFonts w:eastAsia="Arial" w:cs="Times New Roman"/>
          <w:b/>
          <w:bCs/>
          <w:i/>
        </w:rPr>
        <w:t xml:space="preserve">: </w:t>
      </w:r>
      <w:hyperlink r:id="rId69" w:history="1">
        <w:r w:rsidRPr="008C56BE">
          <w:rPr>
            <w:rStyle w:val="Hyperlink"/>
            <w:rFonts w:eastAsia="Arial" w:cs="Times New Roman"/>
            <w:i/>
            <w:color w:val="auto"/>
            <w:u w:val="none"/>
          </w:rPr>
          <w:t>prosperity</w:t>
        </w:r>
      </w:hyperlink>
    </w:p>
    <w:p w:rsidR="008C56BE" w:rsidRDefault="008C56BE" w:rsidP="008C56BE">
      <w:pPr>
        <w:tabs>
          <w:tab w:val="left" w:pos="300"/>
          <w:tab w:val="left" w:pos="2010"/>
        </w:tabs>
        <w:ind w:left="45"/>
        <w:rPr>
          <w:rFonts w:eastAsia="Arial" w:cs="Times New Roman"/>
        </w:rPr>
      </w:pPr>
    </w:p>
    <w:p w:rsidR="008C56BE" w:rsidRPr="003A70C7" w:rsidRDefault="008C56BE" w:rsidP="008C56BE">
      <w:pPr>
        <w:tabs>
          <w:tab w:val="left" w:pos="300"/>
          <w:tab w:val="left" w:pos="2010"/>
        </w:tabs>
        <w:ind w:left="45"/>
        <w:rPr>
          <w:rFonts w:eastAsia="Arial" w:cs="Times New Roman"/>
          <w:b/>
        </w:rPr>
      </w:pPr>
      <w:r w:rsidRPr="003A70C7">
        <w:rPr>
          <w:rFonts w:eastAsia="Arial" w:cs="Times New Roman"/>
          <w:b/>
        </w:rPr>
        <w:t>Cummins (2019) from psychological science:</w:t>
      </w:r>
    </w:p>
    <w:p w:rsidR="008C56BE" w:rsidRPr="00EB33BE" w:rsidRDefault="008C56BE" w:rsidP="008C56BE">
      <w:pPr>
        <w:pStyle w:val="ListParagraph"/>
        <w:numPr>
          <w:ilvl w:val="0"/>
          <w:numId w:val="14"/>
        </w:numPr>
        <w:tabs>
          <w:tab w:val="left" w:pos="300"/>
          <w:tab w:val="left" w:pos="2010"/>
        </w:tabs>
        <w:rPr>
          <w:rFonts w:eastAsia="Arial" w:cs="Times New Roman"/>
          <w:i/>
        </w:rPr>
      </w:pPr>
      <w:r w:rsidRPr="00EB33BE">
        <w:rPr>
          <w:rFonts w:eastAsia="Arial" w:cs="Times New Roman"/>
          <w:i/>
        </w:rPr>
        <w:t>Happiness is feeling of general wellbeing.</w:t>
      </w:r>
    </w:p>
    <w:p w:rsidR="008C56BE" w:rsidRPr="00EB33BE" w:rsidRDefault="008C56BE" w:rsidP="008C56BE">
      <w:pPr>
        <w:pStyle w:val="ListParagraph"/>
        <w:numPr>
          <w:ilvl w:val="0"/>
          <w:numId w:val="14"/>
        </w:numPr>
        <w:tabs>
          <w:tab w:val="left" w:pos="300"/>
          <w:tab w:val="left" w:pos="2010"/>
        </w:tabs>
        <w:rPr>
          <w:rFonts w:eastAsia="Arial" w:cs="Times New Roman"/>
          <w:i/>
        </w:rPr>
      </w:pPr>
      <w:r w:rsidRPr="00EB33BE">
        <w:rPr>
          <w:rFonts w:eastAsia="Arial" w:cs="Times New Roman"/>
          <w:i/>
        </w:rPr>
        <w:t xml:space="preserve">Happiness exists as a single affect, taxonomically located </w:t>
      </w:r>
      <w:r w:rsidRPr="00EB33BE">
        <w:rPr>
          <w:rFonts w:eastAsia="Arial" w:cs="Times New Roman"/>
          <w:i/>
          <w:lang w:val="en-US"/>
        </w:rPr>
        <w:t>at about 356</w:t>
      </w:r>
      <w:r w:rsidRPr="00EB33BE">
        <w:rPr>
          <w:rFonts w:eastAsia="Arial" w:cs="Times New Roman"/>
          <w:i/>
          <w:vertAlign w:val="superscript"/>
          <w:lang w:val="en-US"/>
        </w:rPr>
        <w:t xml:space="preserve">0 </w:t>
      </w:r>
      <w:r w:rsidRPr="00EB33BE">
        <w:rPr>
          <w:rFonts w:eastAsia="Arial" w:cs="Times New Roman"/>
          <w:i/>
          <w:lang w:val="en-US"/>
        </w:rPr>
        <w:t xml:space="preserve">on the affective </w:t>
      </w:r>
      <w:proofErr w:type="spellStart"/>
      <w:r w:rsidRPr="00EB33BE">
        <w:rPr>
          <w:rFonts w:eastAsia="Arial" w:cs="Times New Roman"/>
          <w:i/>
          <w:lang w:val="en-US"/>
        </w:rPr>
        <w:t>circumplex</w:t>
      </w:r>
      <w:proofErr w:type="spellEnd"/>
      <w:r w:rsidRPr="00EB33BE">
        <w:rPr>
          <w:rFonts w:eastAsia="Arial" w:cs="Times New Roman"/>
          <w:i/>
          <w:lang w:val="en-US"/>
        </w:rPr>
        <w:t xml:space="preserve"> </w:t>
      </w:r>
      <w:r w:rsidRPr="00EB33BE">
        <w:rPr>
          <w:rFonts w:eastAsia="Arial" w:cs="Times New Roman"/>
          <w:i/>
          <w:lang w:val="en-US"/>
        </w:rPr>
        <w:fldChar w:fldCharType="begin"/>
      </w:r>
      <w:r w:rsidRPr="00EB33BE">
        <w:rPr>
          <w:rFonts w:eastAsia="Arial" w:cs="Times New Roman"/>
          <w:i/>
          <w:lang w:val="en-US"/>
        </w:rPr>
        <w:instrText xml:space="preserve"> ADDIN EN.CITE &lt;EndNote&gt;&lt;Cite&gt;&lt;Author&gt;Davern&lt;/Author&gt;&lt;Year&gt;2007&lt;/Year&gt;&lt;RecNum&gt;312&lt;/RecNum&gt;&lt;Prefix&gt;see`, e.g. &lt;/Prefix&gt;&lt;DisplayText&gt;(see, e.g. Davern, Cummins, &amp;amp; Stokes, 2007)&lt;/DisplayText&gt;&lt;record&gt;&lt;rec-number&gt;312&lt;/rec-number&gt;&lt;foreign-keys&gt;&lt;key app="EN" db-id="z2xarpe9cfrvp4ezdxk5ddx9dsrzr05f22sa" timestamp="1343947741"&gt;312&lt;/key&gt;&lt;/foreign-keys&gt;&lt;ref-type name="Journal Article"&gt;17&lt;/ref-type&gt;&lt;contributors&gt;&lt;authors&gt;&lt;author&gt;Davern, M.&lt;/author&gt;&lt;author&gt;Cummins, R. A.&lt;/author&gt;&lt;author&gt;Stokes, M.&lt;/author&gt;&lt;/authors&gt;&lt;/contributors&gt;&lt;titles&gt;&lt;title&gt;Subjective wellbeing as an affective/cognitive construct&lt;/title&gt;&lt;secondary-title&gt;Journal of Happiness Studies&lt;/secondary-title&gt;&lt;/titles&gt;&lt;periodical&gt;&lt;full-title&gt;Journal of Happiness Studies&lt;/full-title&gt;&lt;/periodical&gt;&lt;pages&gt;429-449&lt;/pages&gt;&lt;volume&gt;8&lt;/volume&gt;&lt;number&gt;4&lt;/number&gt;&lt;dates&gt;&lt;year&gt;2007&lt;/year&gt;&lt;/dates&gt;&lt;urls&gt;&lt;/urls&gt;&lt;electronic-resource-num&gt;10.1007/s10902-007-9066-1&lt;/electronic-resource-num&gt;&lt;/record&gt;&lt;/Cite&gt;&lt;/EndNote&gt;</w:instrText>
      </w:r>
      <w:r w:rsidRPr="00EB33BE">
        <w:rPr>
          <w:rFonts w:eastAsia="Arial" w:cs="Times New Roman"/>
          <w:i/>
          <w:lang w:val="en-US"/>
        </w:rPr>
        <w:fldChar w:fldCharType="separate"/>
      </w:r>
      <w:r w:rsidRPr="00EB33BE">
        <w:rPr>
          <w:rFonts w:eastAsia="Arial" w:cs="Times New Roman"/>
          <w:i/>
          <w:noProof/>
          <w:lang w:val="en-US"/>
        </w:rPr>
        <w:t>(see, e.g. Davern, Cummins, &amp; Stokes, 2007)</w:t>
      </w:r>
      <w:r w:rsidRPr="00EB33BE">
        <w:rPr>
          <w:rFonts w:eastAsia="Arial" w:cs="Times New Roman"/>
          <w:i/>
        </w:rPr>
        <w:fldChar w:fldCharType="end"/>
      </w:r>
      <w:r w:rsidRPr="00EB33BE">
        <w:rPr>
          <w:rFonts w:eastAsia="Arial" w:cs="Times New Roman"/>
          <w:i/>
          <w:lang w:val="en-US"/>
        </w:rPr>
        <w:t>.</w:t>
      </w:r>
    </w:p>
    <w:p w:rsidR="008C56BE" w:rsidRPr="00EB33BE" w:rsidRDefault="008C56BE" w:rsidP="008C56BE">
      <w:pPr>
        <w:pStyle w:val="ListParagraph"/>
        <w:numPr>
          <w:ilvl w:val="0"/>
          <w:numId w:val="14"/>
        </w:numPr>
        <w:tabs>
          <w:tab w:val="left" w:pos="300"/>
          <w:tab w:val="left" w:pos="2010"/>
        </w:tabs>
        <w:rPr>
          <w:rFonts w:eastAsia="Arial" w:cs="Times New Roman"/>
          <w:i/>
        </w:rPr>
      </w:pPr>
      <w:r w:rsidRPr="00EB33BE">
        <w:rPr>
          <w:rFonts w:eastAsia="Arial" w:cs="Times New Roman"/>
          <w:i/>
        </w:rPr>
        <w:t>Happiness may be experienced as either a mood or an emotion.</w:t>
      </w:r>
    </w:p>
    <w:p w:rsidR="008C56BE" w:rsidRPr="00EB33BE" w:rsidRDefault="008C56BE" w:rsidP="008C56BE">
      <w:pPr>
        <w:pStyle w:val="ListParagraph"/>
        <w:numPr>
          <w:ilvl w:val="0"/>
          <w:numId w:val="14"/>
        </w:numPr>
        <w:tabs>
          <w:tab w:val="left" w:pos="300"/>
          <w:tab w:val="left" w:pos="2010"/>
        </w:tabs>
        <w:rPr>
          <w:rFonts w:eastAsia="Arial" w:cs="Times New Roman"/>
          <w:i/>
        </w:rPr>
      </w:pPr>
      <w:r w:rsidRPr="00EB33BE">
        <w:rPr>
          <w:rFonts w:eastAsia="Arial" w:cs="Times New Roman"/>
          <w:i/>
        </w:rPr>
        <w:t>Happiness as a mood exists as an unchanging, low-intensity positive affect.</w:t>
      </w:r>
    </w:p>
    <w:p w:rsidR="008C56BE" w:rsidRPr="00EB33BE" w:rsidRDefault="008C56BE" w:rsidP="008C56BE">
      <w:pPr>
        <w:pStyle w:val="ListParagraph"/>
        <w:numPr>
          <w:ilvl w:val="0"/>
          <w:numId w:val="14"/>
        </w:numPr>
        <w:tabs>
          <w:tab w:val="left" w:pos="300"/>
          <w:tab w:val="left" w:pos="2010"/>
        </w:tabs>
        <w:rPr>
          <w:rFonts w:eastAsia="Arial" w:cs="Times New Roman"/>
          <w:i/>
        </w:rPr>
      </w:pPr>
      <w:r w:rsidRPr="00EB33BE">
        <w:rPr>
          <w:rFonts w:eastAsia="Arial" w:cs="Times New Roman"/>
          <w:i/>
        </w:rPr>
        <w:t xml:space="preserve">Happiness as a mood combines with Contentment and Alert to form the psychological molecule of Homeostatically Protected Mood (HPMood). </w:t>
      </w:r>
    </w:p>
    <w:p w:rsidR="008C56BE" w:rsidRPr="00EB33BE" w:rsidRDefault="008C56BE" w:rsidP="008C56BE">
      <w:pPr>
        <w:pStyle w:val="ListParagraph"/>
        <w:numPr>
          <w:ilvl w:val="0"/>
          <w:numId w:val="14"/>
        </w:numPr>
        <w:tabs>
          <w:tab w:val="left" w:pos="300"/>
          <w:tab w:val="left" w:pos="2010"/>
        </w:tabs>
        <w:rPr>
          <w:rFonts w:eastAsia="Arial" w:cs="Times New Roman"/>
          <w:i/>
        </w:rPr>
      </w:pPr>
      <w:r w:rsidRPr="00EB33BE">
        <w:rPr>
          <w:rFonts w:eastAsia="Arial" w:cs="Times New Roman"/>
          <w:i/>
        </w:rPr>
        <w:t xml:space="preserve"> The level of HPMood is an individual difference and represents a </w:t>
      </w:r>
      <w:proofErr w:type="spellStart"/>
      <w:r w:rsidRPr="00EB33BE">
        <w:rPr>
          <w:rFonts w:eastAsia="Arial" w:cs="Times New Roman"/>
          <w:i/>
        </w:rPr>
        <w:t>setpoint</w:t>
      </w:r>
      <w:proofErr w:type="spellEnd"/>
      <w:r w:rsidRPr="00EB33BE">
        <w:rPr>
          <w:rFonts w:eastAsia="Arial" w:cs="Times New Roman"/>
          <w:i/>
        </w:rPr>
        <w:t xml:space="preserve"> for each person.</w:t>
      </w:r>
    </w:p>
    <w:p w:rsidR="008C56BE" w:rsidRPr="00EB33BE" w:rsidRDefault="008C56BE" w:rsidP="008C56BE">
      <w:pPr>
        <w:pStyle w:val="ListParagraph"/>
        <w:numPr>
          <w:ilvl w:val="0"/>
          <w:numId w:val="14"/>
        </w:numPr>
        <w:tabs>
          <w:tab w:val="left" w:pos="300"/>
          <w:tab w:val="left" w:pos="2010"/>
        </w:tabs>
        <w:rPr>
          <w:rFonts w:eastAsia="Arial" w:cs="Times New Roman"/>
          <w:i/>
        </w:rPr>
      </w:pPr>
      <w:r w:rsidRPr="00EB33BE">
        <w:rPr>
          <w:rFonts w:eastAsia="Arial" w:cs="Times New Roman"/>
          <w:i/>
        </w:rPr>
        <w:t xml:space="preserve">The level of happiness as an emotion is variable but is normally held within 8.25 percentage points of each </w:t>
      </w:r>
      <w:proofErr w:type="spellStart"/>
      <w:r w:rsidRPr="00EB33BE">
        <w:rPr>
          <w:rFonts w:eastAsia="Arial" w:cs="Times New Roman"/>
          <w:i/>
        </w:rPr>
        <w:t>setpoint</w:t>
      </w:r>
      <w:proofErr w:type="spellEnd"/>
      <w:r w:rsidRPr="00EB33BE">
        <w:rPr>
          <w:rFonts w:eastAsia="Arial" w:cs="Times New Roman"/>
          <w:i/>
        </w:rPr>
        <w:t xml:space="preserve"> </w:t>
      </w:r>
      <w:r w:rsidRPr="00EB33BE">
        <w:rPr>
          <w:rFonts w:eastAsia="Arial" w:cs="Times New Roman"/>
          <w:i/>
        </w:rPr>
        <w:fldChar w:fldCharType="begin"/>
      </w:r>
      <w:r w:rsidRPr="00EB33BE">
        <w:rPr>
          <w:rFonts w:eastAsia="Arial" w:cs="Times New Roman"/>
          <w:i/>
        </w:rPr>
        <w:instrText xml:space="preserve"> ADDIN EN.CITE &lt;EndNote&gt;&lt;Cite&gt;&lt;Author&gt;Capic&lt;/Author&gt;&lt;Year&gt;2018&lt;/Year&gt;&lt;RecNum&gt;3195&lt;/RecNum&gt;&lt;DisplayText&gt;(Capic, Li, &amp;amp; Cummins,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sidRPr="00EB33BE">
        <w:rPr>
          <w:rFonts w:eastAsia="Arial" w:cs="Times New Roman"/>
          <w:i/>
        </w:rPr>
        <w:fldChar w:fldCharType="separate"/>
      </w:r>
      <w:r w:rsidRPr="00EB33BE">
        <w:rPr>
          <w:rFonts w:eastAsia="Arial" w:cs="Times New Roman"/>
          <w:i/>
          <w:noProof/>
        </w:rPr>
        <w:t>(Capic, Li, &amp; Cummins, 2018)</w:t>
      </w:r>
      <w:r w:rsidRPr="00EB33BE">
        <w:rPr>
          <w:rFonts w:eastAsia="Arial" w:cs="Times New Roman"/>
          <w:i/>
        </w:rPr>
        <w:fldChar w:fldCharType="end"/>
      </w:r>
      <w:r w:rsidRPr="00EB33BE">
        <w:rPr>
          <w:rFonts w:eastAsia="Arial" w:cs="Times New Roman"/>
          <w:i/>
        </w:rPr>
        <w:t>.</w:t>
      </w:r>
    </w:p>
    <w:p w:rsidR="008C56BE" w:rsidRDefault="008C56BE" w:rsidP="008C56BE">
      <w:pPr>
        <w:rPr>
          <w:rFonts w:eastAsia="Arial" w:cs="Times New Roman"/>
        </w:rPr>
      </w:pPr>
    </w:p>
    <w:p w:rsidR="00944A0A" w:rsidRPr="00CD5885" w:rsidRDefault="00944A0A" w:rsidP="008C56BE">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944A0A" w:rsidRPr="00BB5D46" w:rsidRDefault="00944A0A" w:rsidP="00944A0A">
      <w:pPr>
        <w:rPr>
          <w:rFonts w:eastAsia="Arial" w:cs="Times New Roman"/>
        </w:rPr>
      </w:pPr>
    </w:p>
    <w:p w:rsidR="00944A0A" w:rsidRPr="00BB5D46" w:rsidRDefault="00944A0A" w:rsidP="00944A0A">
      <w:pPr>
        <w:jc w:val="center"/>
        <w:rPr>
          <w:rFonts w:eastAsia="Arial" w:cs="Times New Roman"/>
          <w:i/>
        </w:rPr>
      </w:pPr>
    </w:p>
    <w:p w:rsidR="00944A0A" w:rsidRPr="00BB5D46" w:rsidRDefault="00944A0A" w:rsidP="00944A0A">
      <w:pPr>
        <w:jc w:val="center"/>
        <w:rPr>
          <w:rFonts w:eastAsia="Arial" w:cs="Times New Roman"/>
          <w:i/>
        </w:rPr>
      </w:pPr>
      <w:r w:rsidRPr="00BB5D46">
        <w:rPr>
          <w:rFonts w:eastAsia="Arial" w:cs="Times New Roman"/>
          <w:i/>
        </w:rPr>
        <w:t xml:space="preserve">Further discussion of </w:t>
      </w:r>
      <w:r w:rsidRPr="0070279D">
        <w:rPr>
          <w:rFonts w:eastAsia="Arial" w:cs="Times New Roman"/>
          <w:i/>
        </w:rPr>
        <w:t>these paper(s),</w:t>
      </w:r>
      <w:r w:rsidRPr="00BB5D46">
        <w:rPr>
          <w:rFonts w:eastAsia="Arial" w:cs="Times New Roman"/>
          <w:i/>
        </w:rPr>
        <w:t xml:space="preserve"> for circulation to members, is invited. Send to: </w:t>
      </w:r>
      <w:hyperlink r:id="rId70" w:history="1">
        <w:r w:rsidRPr="00BB5D46">
          <w:rPr>
            <w:rFonts w:eastAsia="Arial" w:cs="Times New Roman"/>
            <w:i/>
            <w:color w:val="0563C1"/>
            <w:u w:val="single"/>
          </w:rPr>
          <w:t>robert.cummins@deakin.edu.au</w:t>
        </w:r>
      </w:hyperlink>
    </w:p>
    <w:p w:rsidR="00944A0A" w:rsidRPr="00BB5D46" w:rsidRDefault="00944A0A" w:rsidP="00944A0A">
      <w:pPr>
        <w:jc w:val="center"/>
        <w:rPr>
          <w:rFonts w:eastAsia="Arial" w:cs="Times New Roman"/>
          <w:i/>
        </w:rPr>
      </w:pPr>
      <w:r w:rsidRPr="00BB5D46">
        <w:rPr>
          <w:rFonts w:eastAsia="Arial" w:cs="Times New Roman"/>
          <w:i/>
        </w:rPr>
        <w:t xml:space="preserve">Substantive comments received by midnight on </w:t>
      </w:r>
      <w:r w:rsidRPr="0070279D">
        <w:rPr>
          <w:rFonts w:eastAsia="Arial" w:cs="Times New Roman"/>
          <w:i/>
        </w:rPr>
        <w:t xml:space="preserve">Monday </w:t>
      </w:r>
      <w:r w:rsidR="0070279D" w:rsidRPr="0070279D">
        <w:rPr>
          <w:rFonts w:eastAsia="Arial" w:cs="Times New Roman"/>
          <w:i/>
        </w:rPr>
        <w:t>30</w:t>
      </w:r>
      <w:r w:rsidR="0070279D" w:rsidRPr="0070279D">
        <w:rPr>
          <w:rFonts w:eastAsia="Arial" w:cs="Times New Roman"/>
          <w:i/>
          <w:vertAlign w:val="superscript"/>
        </w:rPr>
        <w:t>th</w:t>
      </w:r>
      <w:r w:rsidR="0070279D" w:rsidRPr="0070279D">
        <w:rPr>
          <w:rFonts w:eastAsia="Arial" w:cs="Times New Roman"/>
          <w:i/>
        </w:rPr>
        <w:t xml:space="preserve"> September </w:t>
      </w:r>
      <w:r w:rsidRPr="0070279D">
        <w:rPr>
          <w:rFonts w:eastAsia="Arial" w:cs="Times New Roman"/>
          <w:i/>
        </w:rPr>
        <w:t>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944A0A" w:rsidRDefault="00944A0A" w:rsidP="00944A0A">
      <w:pPr>
        <w:rPr>
          <w:rFonts w:eastAsia="Arial" w:cs="Times New Roman"/>
          <w:i/>
        </w:rPr>
      </w:pPr>
    </w:p>
    <w:p w:rsidR="00944A0A" w:rsidRPr="0070279D" w:rsidRDefault="00944A0A" w:rsidP="00F33B8D">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w:t>
      </w:r>
      <w:r>
        <w:rPr>
          <w:rFonts w:eastAsia="Arial" w:cs="Times New Roman"/>
          <w:i/>
        </w:rPr>
        <w:t>, queries or comments,</w:t>
      </w:r>
      <w:r w:rsidRPr="00BB5D46">
        <w:rPr>
          <w:rFonts w:eastAsia="Arial" w:cs="Times New Roman"/>
          <w:i/>
        </w:rPr>
        <w:t xml:space="preserve"> on the topic of life quality, for distribution and discussion by membe</w:t>
      </w:r>
      <w:r w:rsidR="0070279D">
        <w:rPr>
          <w:rFonts w:eastAsia="Arial" w:cs="Times New Roman"/>
          <w:i/>
        </w:rPr>
        <w:t>rs under these same conditions.</w:t>
      </w:r>
    </w:p>
    <w:p w:rsidR="00944A0A" w:rsidRPr="00BB5D46" w:rsidRDefault="00944A0A" w:rsidP="0070279D">
      <w:pPr>
        <w:rPr>
          <w:rFonts w:eastAsia="Arial" w:cs="Times New Roman"/>
          <w:b/>
          <w:color w:val="000000"/>
          <w:sz w:val="32"/>
          <w:szCs w:val="32"/>
          <w:lang w:val="en-US"/>
        </w:rPr>
      </w:pPr>
    </w:p>
    <w:p w:rsidR="00944A0A" w:rsidRDefault="00944A0A" w:rsidP="00944A0A">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944A0A" w:rsidRPr="004A2F62" w:rsidRDefault="00944A0A" w:rsidP="00944A0A">
      <w:pPr>
        <w:jc w:val="center"/>
        <w:rPr>
          <w:rFonts w:eastAsia="Calibri" w:cs="Times New Roman"/>
          <w:i/>
          <w:szCs w:val="22"/>
        </w:rPr>
      </w:pPr>
      <w:r w:rsidRPr="007F0718">
        <w:rPr>
          <w:rFonts w:eastAsia="Calibri" w:cs="Times New Roman"/>
          <w:i/>
          <w:szCs w:val="22"/>
        </w:rPr>
        <w:t>Sourced from the Analysis &amp; Policy Observatory</w:t>
      </w:r>
    </w:p>
    <w:p w:rsidR="00944A0A" w:rsidRPr="00BB5D46" w:rsidRDefault="00944A0A" w:rsidP="00944A0A">
      <w:pPr>
        <w:jc w:val="center"/>
        <w:rPr>
          <w:rFonts w:eastAsia="Arial" w:cs="Times New Roman"/>
          <w:b/>
          <w:color w:val="000000"/>
          <w:sz w:val="32"/>
          <w:szCs w:val="32"/>
          <w:lang w:val="en-US"/>
        </w:rPr>
      </w:pPr>
    </w:p>
    <w:p w:rsidR="00F602A5" w:rsidRDefault="00F602A5" w:rsidP="00944A0A">
      <w:pPr>
        <w:rPr>
          <w:rFonts w:eastAsia="Arial" w:cs="Times New Roman"/>
          <w:color w:val="000000"/>
          <w:sz w:val="20"/>
          <w:szCs w:val="20"/>
          <w:lang w:val="en-US"/>
        </w:rPr>
      </w:pPr>
      <w:r w:rsidRPr="00F602A5">
        <w:rPr>
          <w:rFonts w:eastAsia="Arial" w:cs="Times New Roman"/>
          <w:color w:val="000000"/>
          <w:sz w:val="20"/>
          <w:szCs w:val="20"/>
          <w:lang w:val="en-US"/>
        </w:rPr>
        <w:t xml:space="preserve">Australian Institute of Health and Welfare. (2019). Australia’s welfare 2019 in brief. Cat. no. AUS 227. Canberra: AIHW </w:t>
      </w:r>
      <w:hyperlink r:id="rId71" w:history="1">
        <w:r w:rsidRPr="001A7AC5">
          <w:rPr>
            <w:rStyle w:val="Hyperlink"/>
            <w:rFonts w:eastAsia="Arial" w:cs="Times New Roman"/>
            <w:sz w:val="20"/>
            <w:szCs w:val="20"/>
            <w:lang w:val="en-US"/>
          </w:rPr>
          <w:t>https://apo.org.au/sites/default/files/resource-files/2019/09/apo-nid258136-1385626.pdf</w:t>
        </w:r>
      </w:hyperlink>
      <w:r w:rsidRPr="00F602A5">
        <w:rPr>
          <w:rFonts w:eastAsia="Arial" w:cs="Times New Roman"/>
          <w:color w:val="000000"/>
          <w:sz w:val="20"/>
          <w:szCs w:val="20"/>
          <w:lang w:val="en-US"/>
        </w:rPr>
        <w:t>.</w:t>
      </w:r>
    </w:p>
    <w:p w:rsidR="00F602A5" w:rsidRDefault="00F602A5" w:rsidP="00944A0A">
      <w:pPr>
        <w:rPr>
          <w:rFonts w:eastAsia="Arial" w:cs="Times New Roman"/>
          <w:color w:val="000000"/>
          <w:sz w:val="20"/>
          <w:szCs w:val="20"/>
          <w:lang w:val="en-US"/>
        </w:rPr>
      </w:pPr>
    </w:p>
    <w:p w:rsidR="00F602A5" w:rsidRPr="003A5F07" w:rsidRDefault="00F602A5" w:rsidP="00F602A5">
      <w:pPr>
        <w:autoSpaceDE w:val="0"/>
        <w:autoSpaceDN w:val="0"/>
        <w:adjustRightInd w:val="0"/>
        <w:rPr>
          <w:rFonts w:ascii="OpenSans-Semibold" w:hAnsi="OpenSans-Semibold" w:cs="OpenSans-Semibold"/>
          <w:color w:val="000000"/>
          <w:u w:val="single"/>
        </w:rPr>
      </w:pPr>
      <w:r w:rsidRPr="003A5F07">
        <w:rPr>
          <w:rFonts w:ascii="OpenSans-Semibold" w:hAnsi="OpenSans-Semibold" w:cs="OpenSans-Semibold"/>
          <w:color w:val="000000"/>
          <w:u w:val="single"/>
        </w:rPr>
        <w:t xml:space="preserve">Overall, </w:t>
      </w:r>
      <w:r w:rsidRPr="003A5F07">
        <w:rPr>
          <w:rFonts w:ascii="OpenSans-Semibold" w:hAnsi="OpenSans-Semibold" w:cs="OpenSans-Semibold"/>
          <w:color w:val="2C7E97"/>
          <w:u w:val="single"/>
        </w:rPr>
        <w:t xml:space="preserve">Australia is faring well </w:t>
      </w:r>
      <w:r w:rsidRPr="003A5F07">
        <w:rPr>
          <w:rFonts w:ascii="OpenSans-Semibold" w:hAnsi="OpenSans-Semibold" w:cs="OpenSans-Semibold"/>
          <w:color w:val="000000"/>
          <w:u w:val="single"/>
        </w:rPr>
        <w:t>on many indicators:</w:t>
      </w:r>
    </w:p>
    <w:p w:rsidR="00F602A5" w:rsidRPr="003A5F07" w:rsidRDefault="00F602A5" w:rsidP="00F602A5">
      <w:pPr>
        <w:autoSpaceDE w:val="0"/>
        <w:autoSpaceDN w:val="0"/>
        <w:adjustRightInd w:val="0"/>
        <w:rPr>
          <w:rFonts w:ascii="OpenSans" w:hAnsi="OpenSans" w:cs="OpenSans"/>
          <w:color w:val="000000"/>
          <w:sz w:val="20"/>
          <w:szCs w:val="20"/>
        </w:rPr>
      </w:pPr>
      <w:r w:rsidRPr="003A5F07">
        <w:rPr>
          <w:rFonts w:ascii="OpenSans-Semibold" w:hAnsi="OpenSans-Semibold" w:cs="OpenSans-Semibold"/>
          <w:color w:val="2C7E97"/>
          <w:sz w:val="20"/>
          <w:szCs w:val="20"/>
        </w:rPr>
        <w:t xml:space="preserve">Fewer people </w:t>
      </w:r>
      <w:r w:rsidRPr="003A5F07">
        <w:rPr>
          <w:rFonts w:ascii="OpenSans" w:hAnsi="OpenSans" w:cs="OpenSans"/>
          <w:color w:val="000000"/>
          <w:sz w:val="20"/>
          <w:szCs w:val="20"/>
        </w:rPr>
        <w:t xml:space="preserve">are working very long hours </w:t>
      </w:r>
      <w:r w:rsidRPr="003A5F07">
        <w:rPr>
          <w:rFonts w:ascii="OpenSans-Semibold" w:hAnsi="OpenSans-Semibold" w:cs="OpenSans-Semibold"/>
          <w:color w:val="000000"/>
          <w:sz w:val="20"/>
          <w:szCs w:val="20"/>
        </w:rPr>
        <w:t>2009</w:t>
      </w:r>
      <w:r w:rsidR="003A5F07" w:rsidRPr="003A5F07">
        <w:rPr>
          <w:rFonts w:ascii="OpenSans-Semibold" w:hAnsi="OpenSans-Semibold" w:cs="OpenSans-Semibold"/>
          <w:color w:val="000000"/>
          <w:sz w:val="20"/>
          <w:szCs w:val="20"/>
        </w:rPr>
        <w:t xml:space="preserve"> to </w:t>
      </w:r>
      <w:r w:rsidRPr="003A5F07">
        <w:rPr>
          <w:rFonts w:ascii="OpenSans-Semibold" w:hAnsi="OpenSans-Semibold" w:cs="OpenSans-Semibold"/>
          <w:color w:val="000000"/>
          <w:sz w:val="20"/>
          <w:szCs w:val="20"/>
        </w:rPr>
        <w:t>2018</w:t>
      </w:r>
      <w:r w:rsidR="003A5F07" w:rsidRPr="003A5F07">
        <w:rPr>
          <w:rFonts w:ascii="OpenSans-Semibold" w:hAnsi="OpenSans-Semibold" w:cs="OpenSans-Semibold"/>
          <w:color w:val="000000"/>
          <w:sz w:val="20"/>
          <w:szCs w:val="20"/>
        </w:rPr>
        <w:t>,</w:t>
      </w:r>
      <w:r w:rsidR="003A5F07" w:rsidRPr="003A5F07">
        <w:rPr>
          <w:rFonts w:ascii="OpenSans" w:hAnsi="OpenSans" w:cs="OpenSans"/>
          <w:color w:val="000000"/>
          <w:sz w:val="20"/>
          <w:szCs w:val="20"/>
        </w:rPr>
        <w:t xml:space="preserve"> 16% to </w:t>
      </w:r>
      <w:r w:rsidRPr="003A5F07">
        <w:rPr>
          <w:rFonts w:ascii="OpenSans" w:hAnsi="OpenSans" w:cs="OpenSans"/>
          <w:color w:val="000000"/>
          <w:sz w:val="20"/>
          <w:szCs w:val="20"/>
        </w:rPr>
        <w:t>14% of employed people worked 50 hours or more a week</w:t>
      </w:r>
    </w:p>
    <w:p w:rsidR="00F602A5" w:rsidRPr="003A5F07" w:rsidRDefault="00F602A5" w:rsidP="00F602A5">
      <w:pPr>
        <w:autoSpaceDE w:val="0"/>
        <w:autoSpaceDN w:val="0"/>
        <w:adjustRightInd w:val="0"/>
        <w:rPr>
          <w:rFonts w:ascii="OpenSans" w:hAnsi="OpenSans" w:cs="OpenSans"/>
          <w:color w:val="000000"/>
          <w:sz w:val="20"/>
          <w:szCs w:val="20"/>
        </w:rPr>
      </w:pPr>
    </w:p>
    <w:p w:rsidR="00F602A5" w:rsidRPr="003A5F07" w:rsidRDefault="00F602A5" w:rsidP="00F602A5">
      <w:pPr>
        <w:autoSpaceDE w:val="0"/>
        <w:autoSpaceDN w:val="0"/>
        <w:adjustRightInd w:val="0"/>
        <w:rPr>
          <w:rFonts w:ascii="OpenSans" w:hAnsi="OpenSans" w:cs="OpenSans"/>
          <w:color w:val="000000"/>
          <w:sz w:val="20"/>
          <w:szCs w:val="20"/>
        </w:rPr>
      </w:pPr>
      <w:r w:rsidRPr="003A5F07">
        <w:rPr>
          <w:rFonts w:ascii="OpenSans" w:hAnsi="OpenSans" w:cs="OpenSans"/>
          <w:color w:val="000000"/>
          <w:sz w:val="20"/>
          <w:szCs w:val="20"/>
        </w:rPr>
        <w:t xml:space="preserve">Civic engagement </w:t>
      </w:r>
      <w:r w:rsidRPr="003A5F07">
        <w:rPr>
          <w:rFonts w:ascii="OpenSans-Semibold" w:hAnsi="OpenSans-Semibold" w:cs="OpenSans-Semibold"/>
          <w:color w:val="2C7E97"/>
          <w:sz w:val="20"/>
          <w:szCs w:val="20"/>
        </w:rPr>
        <w:t>has increased</w:t>
      </w:r>
      <w:r w:rsidRPr="003A5F07">
        <w:rPr>
          <w:rFonts w:ascii="OpenSans" w:hAnsi="OpenSans" w:cs="OpenSans"/>
          <w:color w:val="000000"/>
          <w:sz w:val="20"/>
          <w:szCs w:val="20"/>
        </w:rPr>
        <w:t xml:space="preserve"> </w:t>
      </w:r>
      <w:r w:rsidRPr="003A5F07">
        <w:rPr>
          <w:rFonts w:ascii="OpenSans-Semibold" w:hAnsi="OpenSans-Semibold" w:cs="OpenSans-Semibold"/>
          <w:color w:val="000000"/>
          <w:sz w:val="20"/>
          <w:szCs w:val="20"/>
        </w:rPr>
        <w:t>2010 to 2019,</w:t>
      </w:r>
      <w:r w:rsidRPr="003A5F07">
        <w:rPr>
          <w:rFonts w:ascii="OpenSans" w:hAnsi="OpenSans" w:cs="OpenSans"/>
          <w:color w:val="000000"/>
          <w:sz w:val="20"/>
          <w:szCs w:val="20"/>
        </w:rPr>
        <w:t xml:space="preserve"> 90%</w:t>
      </w:r>
      <w:r w:rsidR="003A5F07" w:rsidRPr="003A5F07">
        <w:rPr>
          <w:rFonts w:ascii="OpenSans" w:hAnsi="OpenSans" w:cs="OpenSans"/>
          <w:color w:val="000000"/>
          <w:sz w:val="20"/>
          <w:szCs w:val="20"/>
        </w:rPr>
        <w:t xml:space="preserve"> to </w:t>
      </w:r>
      <w:r w:rsidRPr="003A5F07">
        <w:rPr>
          <w:rFonts w:ascii="OpenSans" w:hAnsi="OpenSans" w:cs="OpenSans"/>
          <w:color w:val="000000"/>
          <w:sz w:val="20"/>
          <w:szCs w:val="20"/>
        </w:rPr>
        <w:t>97% of eligible people were enrolled to vote</w:t>
      </w:r>
    </w:p>
    <w:p w:rsidR="00F602A5" w:rsidRPr="003A5F07" w:rsidRDefault="00F602A5" w:rsidP="00F602A5">
      <w:pPr>
        <w:autoSpaceDE w:val="0"/>
        <w:autoSpaceDN w:val="0"/>
        <w:adjustRightInd w:val="0"/>
        <w:rPr>
          <w:rFonts w:ascii="OpenSans-Semibold" w:hAnsi="OpenSans-Semibold" w:cs="OpenSans-Semibold"/>
          <w:color w:val="2C7E97"/>
          <w:sz w:val="20"/>
          <w:szCs w:val="20"/>
        </w:rPr>
      </w:pPr>
    </w:p>
    <w:p w:rsidR="00F602A5" w:rsidRPr="003A5F07" w:rsidRDefault="00F602A5" w:rsidP="00F602A5">
      <w:pPr>
        <w:autoSpaceDE w:val="0"/>
        <w:autoSpaceDN w:val="0"/>
        <w:adjustRightInd w:val="0"/>
        <w:rPr>
          <w:rFonts w:ascii="OpenSans" w:hAnsi="OpenSans" w:cs="OpenSans"/>
          <w:color w:val="000000"/>
          <w:sz w:val="20"/>
          <w:szCs w:val="20"/>
        </w:rPr>
      </w:pPr>
      <w:r w:rsidRPr="003A5F07">
        <w:rPr>
          <w:rFonts w:ascii="OpenSans-Semibold" w:hAnsi="OpenSans-Semibold" w:cs="OpenSans-Semibold"/>
          <w:color w:val="2C7E97"/>
          <w:sz w:val="20"/>
          <w:szCs w:val="20"/>
        </w:rPr>
        <w:t xml:space="preserve">More homes </w:t>
      </w:r>
      <w:r w:rsidRPr="003A5F07">
        <w:rPr>
          <w:rFonts w:ascii="OpenSans" w:hAnsi="OpenSans" w:cs="OpenSans"/>
          <w:color w:val="000000"/>
          <w:sz w:val="20"/>
          <w:szCs w:val="20"/>
        </w:rPr>
        <w:t xml:space="preserve">have internet access </w:t>
      </w:r>
      <w:r w:rsidRPr="003A5F07">
        <w:rPr>
          <w:rFonts w:ascii="OpenSans-Semibold" w:hAnsi="OpenSans-Semibold" w:cs="OpenSans-Semibold"/>
          <w:color w:val="000000"/>
          <w:sz w:val="20"/>
          <w:szCs w:val="20"/>
        </w:rPr>
        <w:t>2007</w:t>
      </w:r>
      <w:r w:rsidR="003A5F07" w:rsidRPr="003A5F07">
        <w:rPr>
          <w:rFonts w:ascii="OpenSans-Semibold" w:hAnsi="OpenSans-Semibold" w:cs="OpenSans-Semibold"/>
          <w:color w:val="000000"/>
          <w:sz w:val="20"/>
          <w:szCs w:val="20"/>
        </w:rPr>
        <w:t xml:space="preserve"> to</w:t>
      </w:r>
      <w:r w:rsidRPr="003A5F07">
        <w:rPr>
          <w:rFonts w:ascii="OpenSans-Semibold" w:hAnsi="OpenSans-Semibold" w:cs="OpenSans-Semibold"/>
          <w:color w:val="000000"/>
          <w:sz w:val="20"/>
          <w:szCs w:val="20"/>
        </w:rPr>
        <w:t xml:space="preserve"> </w:t>
      </w:r>
      <w:proofErr w:type="gramStart"/>
      <w:r w:rsidRPr="003A5F07">
        <w:rPr>
          <w:rFonts w:ascii="OpenSans-Semibold" w:hAnsi="OpenSans-Semibold" w:cs="OpenSans-Semibold"/>
          <w:color w:val="000000"/>
          <w:sz w:val="20"/>
          <w:szCs w:val="20"/>
        </w:rPr>
        <w:t>2016</w:t>
      </w:r>
      <w:r w:rsidR="003A5F07" w:rsidRPr="003A5F07">
        <w:rPr>
          <w:rFonts w:ascii="OpenSans-Semibold" w:hAnsi="OpenSans-Semibold" w:cs="OpenSans-Semibold"/>
          <w:color w:val="000000"/>
          <w:sz w:val="20"/>
          <w:szCs w:val="20"/>
        </w:rPr>
        <w:t xml:space="preserve">, </w:t>
      </w:r>
      <w:r w:rsidR="003A5F07" w:rsidRPr="003A5F07">
        <w:rPr>
          <w:rFonts w:ascii="OpenSans" w:hAnsi="OpenSans" w:cs="OpenSans"/>
          <w:color w:val="000000"/>
          <w:sz w:val="20"/>
          <w:szCs w:val="20"/>
        </w:rPr>
        <w:t xml:space="preserve"> 67</w:t>
      </w:r>
      <w:proofErr w:type="gramEnd"/>
      <w:r w:rsidR="003A5F07" w:rsidRPr="003A5F07">
        <w:rPr>
          <w:rFonts w:ascii="OpenSans" w:hAnsi="OpenSans" w:cs="OpenSans"/>
          <w:color w:val="000000"/>
          <w:sz w:val="20"/>
          <w:szCs w:val="20"/>
        </w:rPr>
        <w:t xml:space="preserve">% to </w:t>
      </w:r>
      <w:r w:rsidRPr="003A5F07">
        <w:rPr>
          <w:rFonts w:ascii="OpenSans" w:hAnsi="OpenSans" w:cs="OpenSans"/>
          <w:color w:val="000000"/>
          <w:sz w:val="20"/>
          <w:szCs w:val="20"/>
        </w:rPr>
        <w:t>86%</w:t>
      </w:r>
    </w:p>
    <w:p w:rsidR="00F602A5" w:rsidRDefault="00F602A5" w:rsidP="00F602A5">
      <w:pPr>
        <w:autoSpaceDE w:val="0"/>
        <w:autoSpaceDN w:val="0"/>
        <w:adjustRightInd w:val="0"/>
        <w:rPr>
          <w:rFonts w:ascii="OpenSans-Semibold" w:hAnsi="OpenSans-Semibold" w:cs="OpenSans-Semibold"/>
          <w:color w:val="000000"/>
        </w:rPr>
      </w:pPr>
    </w:p>
    <w:p w:rsidR="00F602A5" w:rsidRPr="003A5F07" w:rsidRDefault="00F602A5" w:rsidP="00F602A5">
      <w:pPr>
        <w:autoSpaceDE w:val="0"/>
        <w:autoSpaceDN w:val="0"/>
        <w:adjustRightInd w:val="0"/>
        <w:rPr>
          <w:rFonts w:ascii="OpenSans-Bold" w:hAnsi="OpenSans-Bold" w:cs="OpenSans-Bold"/>
          <w:b/>
          <w:bCs/>
          <w:color w:val="FFFFFF"/>
          <w:sz w:val="36"/>
          <w:szCs w:val="36"/>
          <w:u w:val="single"/>
        </w:rPr>
      </w:pPr>
      <w:r w:rsidRPr="003A5F07">
        <w:rPr>
          <w:rFonts w:ascii="OpenSans-Semibold" w:hAnsi="OpenSans-Semibold" w:cs="OpenSans-Semibold"/>
          <w:b/>
          <w:color w:val="000000"/>
          <w:u w:val="single"/>
        </w:rPr>
        <w:t xml:space="preserve">The measures in some other areas are </w:t>
      </w:r>
      <w:r w:rsidRPr="003A5F07">
        <w:rPr>
          <w:rFonts w:ascii="OpenSans-Semibold" w:hAnsi="OpenSans-Semibold" w:cs="OpenSans-Semibold"/>
          <w:b/>
          <w:color w:val="2C7E97"/>
          <w:u w:val="single"/>
        </w:rPr>
        <w:t>not as encouraging</w:t>
      </w:r>
      <w:r w:rsidRPr="003A5F07">
        <w:rPr>
          <w:rFonts w:ascii="OpenSans-Semibold" w:hAnsi="OpenSans-Semibold" w:cs="OpenSans-Semibold"/>
          <w:b/>
          <w:color w:val="000000"/>
          <w:u w:val="single"/>
        </w:rPr>
        <w:t>:</w:t>
      </w:r>
    </w:p>
    <w:p w:rsidR="00F602A5" w:rsidRPr="003A5F07" w:rsidRDefault="00F602A5" w:rsidP="00F602A5">
      <w:pPr>
        <w:autoSpaceDE w:val="0"/>
        <w:autoSpaceDN w:val="0"/>
        <w:adjustRightInd w:val="0"/>
        <w:rPr>
          <w:rFonts w:ascii="OpenSans" w:hAnsi="OpenSans" w:cs="OpenSans"/>
          <w:color w:val="000000"/>
          <w:sz w:val="20"/>
          <w:szCs w:val="20"/>
        </w:rPr>
      </w:pPr>
      <w:r w:rsidRPr="003A5F07">
        <w:rPr>
          <w:rFonts w:ascii="OpenSans-Semibold" w:hAnsi="OpenSans-Semibold" w:cs="OpenSans-Semibold"/>
          <w:color w:val="2C7E97"/>
          <w:sz w:val="20"/>
          <w:szCs w:val="20"/>
        </w:rPr>
        <w:t xml:space="preserve">One in 4 </w:t>
      </w:r>
      <w:r w:rsidR="003A5F07" w:rsidRPr="003A5F07">
        <w:rPr>
          <w:rFonts w:ascii="OpenSans" w:hAnsi="OpenSans" w:cs="OpenSans"/>
          <w:color w:val="000000"/>
          <w:sz w:val="20"/>
          <w:szCs w:val="20"/>
        </w:rPr>
        <w:t xml:space="preserve">unemployed people are long-term unemployed </w:t>
      </w:r>
      <w:r w:rsidRPr="003A5F07">
        <w:rPr>
          <w:rFonts w:ascii="OpenSans-Semibold" w:hAnsi="OpenSans-Semibold" w:cs="OpenSans-Semibold"/>
          <w:color w:val="000000"/>
          <w:sz w:val="20"/>
          <w:szCs w:val="20"/>
        </w:rPr>
        <w:t>2009</w:t>
      </w:r>
      <w:r w:rsidR="003A5F07" w:rsidRPr="003A5F07">
        <w:rPr>
          <w:rFonts w:ascii="OpenSans-Semibold" w:hAnsi="OpenSans-Semibold" w:cs="OpenSans-Semibold"/>
          <w:color w:val="000000"/>
          <w:sz w:val="20"/>
          <w:szCs w:val="20"/>
        </w:rPr>
        <w:t xml:space="preserve"> to</w:t>
      </w:r>
      <w:r w:rsidRPr="003A5F07">
        <w:rPr>
          <w:rFonts w:ascii="OpenSans-Semibold" w:hAnsi="OpenSans-Semibold" w:cs="OpenSans-Semibold"/>
          <w:color w:val="000000"/>
          <w:sz w:val="20"/>
          <w:szCs w:val="20"/>
        </w:rPr>
        <w:t xml:space="preserve"> 2018</w:t>
      </w:r>
      <w:r w:rsidR="003A5F07" w:rsidRPr="003A5F07">
        <w:rPr>
          <w:rFonts w:ascii="OpenSans-Semibold" w:hAnsi="OpenSans-Semibold" w:cs="OpenSans-Semibold"/>
          <w:color w:val="000000"/>
          <w:sz w:val="20"/>
          <w:szCs w:val="20"/>
        </w:rPr>
        <w:t>,</w:t>
      </w:r>
      <w:r w:rsidR="003A5F07" w:rsidRPr="003A5F07">
        <w:rPr>
          <w:rFonts w:ascii="OpenSans" w:hAnsi="OpenSans" w:cs="OpenSans"/>
          <w:color w:val="000000"/>
          <w:sz w:val="20"/>
          <w:szCs w:val="20"/>
        </w:rPr>
        <w:t xml:space="preserve"> </w:t>
      </w:r>
      <w:r w:rsidRPr="003A5F07">
        <w:rPr>
          <w:rFonts w:ascii="OpenSans" w:hAnsi="OpenSans" w:cs="OpenSans"/>
          <w:color w:val="000000"/>
          <w:sz w:val="20"/>
          <w:szCs w:val="20"/>
        </w:rPr>
        <w:t>15%</w:t>
      </w:r>
      <w:r w:rsidR="003A5F07" w:rsidRPr="003A5F07">
        <w:rPr>
          <w:rFonts w:ascii="OpenSans" w:hAnsi="OpenSans" w:cs="OpenSans"/>
          <w:color w:val="000000"/>
          <w:sz w:val="20"/>
          <w:szCs w:val="20"/>
        </w:rPr>
        <w:t xml:space="preserve"> to</w:t>
      </w:r>
      <w:r w:rsidRPr="003A5F07">
        <w:rPr>
          <w:rFonts w:ascii="OpenSans" w:hAnsi="OpenSans" w:cs="OpenSans"/>
          <w:color w:val="000000"/>
          <w:sz w:val="20"/>
          <w:szCs w:val="20"/>
        </w:rPr>
        <w:t xml:space="preserve"> 25%</w:t>
      </w:r>
    </w:p>
    <w:p w:rsidR="00F602A5" w:rsidRPr="003A5F07" w:rsidRDefault="003A5F07" w:rsidP="00F602A5">
      <w:pPr>
        <w:autoSpaceDE w:val="0"/>
        <w:autoSpaceDN w:val="0"/>
        <w:adjustRightInd w:val="0"/>
        <w:rPr>
          <w:rFonts w:ascii="OpenSans" w:hAnsi="OpenSans" w:cs="OpenSans"/>
          <w:color w:val="000000"/>
          <w:sz w:val="20"/>
          <w:szCs w:val="20"/>
        </w:rPr>
      </w:pPr>
      <w:r w:rsidRPr="003A5F07">
        <w:rPr>
          <w:rFonts w:ascii="OpenSans" w:hAnsi="OpenSans" w:cs="OpenSans"/>
          <w:color w:val="000000"/>
          <w:sz w:val="20"/>
          <w:szCs w:val="20"/>
        </w:rPr>
        <w:t xml:space="preserve">of unemployed people aged 15 and over had been looking for </w:t>
      </w:r>
      <w:r w:rsidR="00F602A5" w:rsidRPr="003A5F07">
        <w:rPr>
          <w:rFonts w:ascii="OpenSans" w:hAnsi="OpenSans" w:cs="OpenSans"/>
          <w:color w:val="000000"/>
          <w:sz w:val="20"/>
          <w:szCs w:val="20"/>
        </w:rPr>
        <w:t>work for more than a year</w:t>
      </w:r>
      <w:r w:rsidRPr="003A5F07">
        <w:rPr>
          <w:rFonts w:ascii="OpenSans" w:hAnsi="OpenSans" w:cs="OpenSans"/>
          <w:color w:val="000000"/>
          <w:sz w:val="20"/>
          <w:szCs w:val="20"/>
        </w:rPr>
        <w:t>.</w:t>
      </w:r>
    </w:p>
    <w:p w:rsidR="003A5F07" w:rsidRDefault="003A5F07" w:rsidP="003A5F07">
      <w:pPr>
        <w:autoSpaceDE w:val="0"/>
        <w:autoSpaceDN w:val="0"/>
        <w:adjustRightInd w:val="0"/>
        <w:rPr>
          <w:rFonts w:ascii="OpenSans-Semibold" w:hAnsi="OpenSans-Semibold" w:cs="OpenSans-Semibold"/>
          <w:color w:val="2C7E97"/>
          <w:sz w:val="20"/>
          <w:szCs w:val="20"/>
        </w:rPr>
      </w:pPr>
    </w:p>
    <w:p w:rsidR="00944A0A" w:rsidRPr="003A5F07" w:rsidRDefault="00F602A5" w:rsidP="003A5F07">
      <w:pPr>
        <w:autoSpaceDE w:val="0"/>
        <w:autoSpaceDN w:val="0"/>
        <w:adjustRightInd w:val="0"/>
        <w:rPr>
          <w:rFonts w:ascii="OpenSans" w:hAnsi="OpenSans" w:cs="OpenSans"/>
          <w:color w:val="000000"/>
          <w:sz w:val="20"/>
          <w:szCs w:val="20"/>
        </w:rPr>
      </w:pPr>
      <w:r w:rsidRPr="003A5F07">
        <w:rPr>
          <w:rFonts w:ascii="OpenSans-Semibold" w:hAnsi="OpenSans-Semibold" w:cs="OpenSans-Semibold"/>
          <w:color w:val="2C7E97"/>
          <w:sz w:val="20"/>
          <w:szCs w:val="20"/>
        </w:rPr>
        <w:t xml:space="preserve">One in 9 </w:t>
      </w:r>
      <w:r w:rsidR="003A5F07" w:rsidRPr="003A5F07">
        <w:rPr>
          <w:rFonts w:ascii="OpenSans" w:hAnsi="OpenSans" w:cs="OpenSans"/>
          <w:color w:val="000000"/>
          <w:sz w:val="20"/>
          <w:szCs w:val="20"/>
        </w:rPr>
        <w:t xml:space="preserve">families with children are jobless </w:t>
      </w:r>
      <w:r w:rsidR="003A5F07" w:rsidRPr="003A5F07">
        <w:rPr>
          <w:rFonts w:ascii="OpenSans-Semibold" w:hAnsi="OpenSans-Semibold" w:cs="OpenSans-Semibold"/>
          <w:color w:val="000000"/>
          <w:sz w:val="20"/>
          <w:szCs w:val="20"/>
        </w:rPr>
        <w:t xml:space="preserve">2012 to </w:t>
      </w:r>
      <w:r w:rsidRPr="003A5F07">
        <w:rPr>
          <w:rFonts w:ascii="OpenSans-Semibold" w:hAnsi="OpenSans-Semibold" w:cs="OpenSans-Semibold"/>
          <w:color w:val="000000"/>
          <w:sz w:val="20"/>
          <w:szCs w:val="20"/>
        </w:rPr>
        <w:t>2017</w:t>
      </w:r>
      <w:r w:rsidR="003A5F07" w:rsidRPr="003A5F07">
        <w:rPr>
          <w:rFonts w:ascii="OpenSans" w:hAnsi="OpenSans" w:cs="OpenSans"/>
          <w:color w:val="000000"/>
          <w:sz w:val="20"/>
          <w:szCs w:val="20"/>
        </w:rPr>
        <w:t xml:space="preserve"> 12% to 12% of families with children under 15 had no one in the family </w:t>
      </w:r>
      <w:r w:rsidRPr="003A5F07">
        <w:rPr>
          <w:rFonts w:ascii="OpenSans" w:hAnsi="OpenSans" w:cs="OpenSans"/>
          <w:color w:val="000000"/>
          <w:sz w:val="20"/>
          <w:szCs w:val="20"/>
        </w:rPr>
        <w:t>who was employed</w:t>
      </w:r>
      <w:r w:rsidR="003A5F07" w:rsidRPr="003A5F07">
        <w:rPr>
          <w:rFonts w:ascii="OpenSans" w:hAnsi="OpenSans" w:cs="OpenSans"/>
          <w:color w:val="000000"/>
          <w:sz w:val="20"/>
          <w:szCs w:val="20"/>
        </w:rPr>
        <w:t>.</w:t>
      </w:r>
    </w:p>
    <w:p w:rsidR="00944A0A" w:rsidRDefault="00944A0A" w:rsidP="00944A0A">
      <w:pPr>
        <w:jc w:val="center"/>
        <w:rPr>
          <w:rFonts w:ascii="Helvetica" w:hAnsi="Helvetica" w:cs="Helvetica"/>
          <w:sz w:val="18"/>
          <w:szCs w:val="18"/>
        </w:rPr>
      </w:pPr>
    </w:p>
    <w:p w:rsidR="00944A0A" w:rsidRPr="00CB131A" w:rsidRDefault="00944A0A" w:rsidP="00944A0A">
      <w:pPr>
        <w:jc w:val="center"/>
        <w:rPr>
          <w:rFonts w:eastAsia="Arial" w:cs="Times New Roman"/>
          <w:b/>
          <w:sz w:val="32"/>
          <w:szCs w:val="32"/>
        </w:rPr>
      </w:pPr>
      <w:r w:rsidRPr="00BB5D46">
        <w:rPr>
          <w:rFonts w:eastAsia="Arial" w:cs="Times New Roman"/>
          <w:b/>
          <w:sz w:val="32"/>
          <w:szCs w:val="32"/>
        </w:rPr>
        <w:t>Media news</w:t>
      </w:r>
    </w:p>
    <w:p w:rsidR="00944A0A" w:rsidRPr="00CB131A" w:rsidRDefault="00944A0A" w:rsidP="00944A0A">
      <w:pPr>
        <w:jc w:val="center"/>
        <w:rPr>
          <w:rFonts w:eastAsia="Arial" w:cs="Times New Roman"/>
          <w:i/>
        </w:rPr>
      </w:pPr>
      <w:r w:rsidRPr="00CB131A">
        <w:rPr>
          <w:rFonts w:eastAsia="Arial" w:cs="Times New Roman"/>
          <w:i/>
        </w:rPr>
        <w:t>Tanika Roberts [</w:t>
      </w:r>
      <w:hyperlink r:id="rId72" w:history="1">
        <w:r w:rsidRPr="00CB131A">
          <w:rPr>
            <w:rStyle w:val="Hyperlink"/>
            <w:rFonts w:eastAsia="Arial" w:cs="Times New Roman"/>
            <w:i/>
          </w:rPr>
          <w:t>trobe@deakin.edu.au</w:t>
        </w:r>
      </w:hyperlink>
      <w:r w:rsidRPr="00CB131A">
        <w:rPr>
          <w:rFonts w:eastAsia="Arial" w:cs="Times New Roman"/>
          <w:i/>
        </w:rPr>
        <w:t>]</w:t>
      </w:r>
    </w:p>
    <w:p w:rsidR="00944A0A" w:rsidRPr="00CB131A" w:rsidRDefault="00944A0A" w:rsidP="00944A0A">
      <w:pPr>
        <w:jc w:val="center"/>
        <w:rPr>
          <w:rFonts w:eastAsia="Arial" w:cs="Times New Roman"/>
          <w:i/>
        </w:rPr>
      </w:pPr>
      <w:r w:rsidRPr="00CB131A">
        <w:rPr>
          <w:rFonts w:eastAsia="Arial" w:cs="Times New Roman"/>
          <w:i/>
        </w:rPr>
        <w:t>Executive Volunteer, Bulletin Co-Editor– Media</w:t>
      </w:r>
    </w:p>
    <w:p w:rsidR="00944A0A" w:rsidRDefault="00944A0A" w:rsidP="00944A0A">
      <w:pPr>
        <w:rPr>
          <w:rFonts w:eastAsia="Arial" w:cs="Times New Roman"/>
          <w:sz w:val="28"/>
          <w:szCs w:val="28"/>
        </w:rPr>
      </w:pPr>
    </w:p>
    <w:p w:rsidR="00A2768E" w:rsidRPr="00A2768E" w:rsidRDefault="00A2768E" w:rsidP="00A2768E">
      <w:pPr>
        <w:rPr>
          <w:rFonts w:eastAsia="Calibri" w:cs="Times New Roman"/>
          <w:lang w:eastAsia="en-AU"/>
        </w:rPr>
      </w:pPr>
      <w:r w:rsidRPr="00A2768E">
        <w:rPr>
          <w:rFonts w:eastAsia="Calibri" w:cs="Times New Roman"/>
          <w:b/>
          <w:bCs/>
          <w:color w:val="31313B"/>
          <w:sz w:val="27"/>
          <w:szCs w:val="27"/>
          <w:shd w:val="clear" w:color="auto" w:fill="FFFFFF"/>
          <w:lang w:eastAsia="en-AU"/>
        </w:rPr>
        <w:t>Understanding Why Play Is So Important For Children</w:t>
      </w:r>
    </w:p>
    <w:p w:rsidR="00A2768E" w:rsidRPr="00A2768E" w:rsidRDefault="00DF3874" w:rsidP="00A2768E">
      <w:pPr>
        <w:shd w:val="clear" w:color="auto" w:fill="FFFFFF"/>
        <w:textAlignment w:val="baseline"/>
        <w:outlineLvl w:val="1"/>
        <w:rPr>
          <w:rFonts w:eastAsia="Times New Roman" w:cs="Times New Roman"/>
          <w:b/>
          <w:bCs/>
          <w:sz w:val="36"/>
          <w:szCs w:val="36"/>
          <w:lang w:eastAsia="en-AU"/>
        </w:rPr>
      </w:pPr>
      <w:hyperlink r:id="rId73" w:history="1">
        <w:r w:rsidR="00A2768E" w:rsidRPr="00A2768E">
          <w:rPr>
            <w:rFonts w:eastAsia="Times New Roman" w:cs="Times New Roman"/>
            <w:color w:val="0000FF"/>
            <w:sz w:val="23"/>
            <w:szCs w:val="23"/>
            <w:u w:val="single"/>
            <w:lang w:eastAsia="en-AU"/>
          </w:rPr>
          <w:t>https://www.psychologytoday.com/au/blog/comparatively-speaking/201909/understanding-why-play-is-so-important-children</w:t>
        </w:r>
      </w:hyperlink>
      <w:r w:rsidR="00A2768E" w:rsidRPr="00A2768E">
        <w:rPr>
          <w:rFonts w:eastAsia="Times New Roman" w:cs="Times New Roman"/>
          <w:color w:val="0000FF"/>
          <w:sz w:val="23"/>
          <w:szCs w:val="23"/>
          <w:u w:val="single"/>
          <w:lang w:eastAsia="en-AU"/>
        </w:rPr>
        <w:t xml:space="preserve"> </w:t>
      </w:r>
    </w:p>
    <w:p w:rsidR="00A2768E" w:rsidRPr="00A2768E" w:rsidRDefault="00A2768E" w:rsidP="00A2768E">
      <w:pPr>
        <w:rPr>
          <w:rFonts w:eastAsia="Calibri" w:cs="Times New Roman"/>
          <w:lang w:eastAsia="en-AU"/>
        </w:rPr>
      </w:pPr>
      <w:r w:rsidRPr="00A2768E">
        <w:rPr>
          <w:rFonts w:eastAsia="Calibri" w:cs="Times New Roman"/>
          <w:color w:val="31313B"/>
          <w:sz w:val="21"/>
          <w:shd w:val="clear" w:color="auto" w:fill="FFFFFF"/>
          <w:lang w:eastAsia="en-AU"/>
        </w:rPr>
        <w:t xml:space="preserve">Daniel Marston </w:t>
      </w:r>
    </w:p>
    <w:p w:rsidR="00A2768E" w:rsidRDefault="00A2768E" w:rsidP="00A2768E">
      <w:pPr>
        <w:rPr>
          <w:rFonts w:eastAsia="Calibri" w:cs="Times New Roman"/>
          <w:color w:val="2C2D30"/>
          <w:sz w:val="22"/>
          <w:shd w:val="clear" w:color="auto" w:fill="FFFFFF"/>
          <w:lang w:eastAsia="en-AU"/>
        </w:rPr>
      </w:pPr>
    </w:p>
    <w:p w:rsidR="00A2768E" w:rsidRDefault="00A2768E" w:rsidP="00A2768E">
      <w:pPr>
        <w:rPr>
          <w:rFonts w:eastAsia="Calibri" w:cs="Times New Roman"/>
          <w:color w:val="2C2D30"/>
          <w:sz w:val="22"/>
          <w:shd w:val="clear" w:color="auto" w:fill="FFFFFF"/>
          <w:lang w:eastAsia="en-AU"/>
        </w:rPr>
      </w:pPr>
      <w:r w:rsidRPr="00A2768E">
        <w:rPr>
          <w:rFonts w:eastAsia="Calibri" w:cs="Times New Roman"/>
          <w:color w:val="2C2D30"/>
          <w:sz w:val="22"/>
          <w:shd w:val="clear" w:color="auto" w:fill="FFFFFF"/>
          <w:lang w:eastAsia="en-AU"/>
        </w:rPr>
        <w:t>Over the years of working with children I have seen many circumstances supporting the importance of play for appropriate development. This is also something supported quite strongly in the research on </w:t>
      </w:r>
      <w:r w:rsidRPr="00A2768E">
        <w:rPr>
          <w:rFonts w:eastAsia="Calibri" w:cs="Times New Roman"/>
          <w:sz w:val="22"/>
          <w:shd w:val="clear" w:color="auto" w:fill="FFFFFF"/>
          <w:lang w:eastAsia="en-AU"/>
        </w:rPr>
        <w:t>child development</w:t>
      </w:r>
      <w:r w:rsidRPr="00A2768E">
        <w:rPr>
          <w:rFonts w:eastAsia="Calibri" w:cs="Times New Roman"/>
          <w:color w:val="2C2D30"/>
          <w:sz w:val="22"/>
          <w:shd w:val="clear" w:color="auto" w:fill="FFFFFF"/>
          <w:lang w:eastAsia="en-AU"/>
        </w:rPr>
        <w:t>. Engaging in appropriate play activities is helpful for children to develop important skills needed for interacting with other people.  It is also essential for learning effective approaches for dealing with challenges individuals face as they grow up.</w:t>
      </w:r>
    </w:p>
    <w:p w:rsidR="00A2768E" w:rsidRPr="00A2768E" w:rsidRDefault="00A2768E" w:rsidP="00A2768E">
      <w:pPr>
        <w:rPr>
          <w:rFonts w:eastAsia="Calibri" w:cs="Times New Roman"/>
          <w:lang w:eastAsia="en-AU"/>
        </w:rPr>
      </w:pPr>
    </w:p>
    <w:p w:rsidR="00944A0A" w:rsidRPr="00BB5D46" w:rsidRDefault="00944A0A" w:rsidP="00944A0A">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944A0A" w:rsidRPr="006F0D33" w:rsidRDefault="00944A0A" w:rsidP="00944A0A">
      <w:pPr>
        <w:jc w:val="center"/>
        <w:rPr>
          <w:rFonts w:eastAsia="Calibri" w:cs="Times New Roman"/>
          <w:szCs w:val="22"/>
        </w:rPr>
      </w:pPr>
      <w:r w:rsidRPr="006F0D33">
        <w:rPr>
          <w:rFonts w:eastAsia="Calibri" w:cs="Times New Roman"/>
          <w:szCs w:val="22"/>
        </w:rPr>
        <w:t>Sangeetha Thomas &lt;thomassa@deakin.edu.au&gt;</w:t>
      </w:r>
      <w:r w:rsidRPr="006F0D33">
        <w:rPr>
          <w:rFonts w:eastAsia="Calibri" w:cs="Times New Roman"/>
          <w:szCs w:val="22"/>
        </w:rPr>
        <w:fldChar w:fldCharType="begin"/>
      </w:r>
      <w:r w:rsidRPr="006F0D33">
        <w:rPr>
          <w:rFonts w:eastAsia="Calibri" w:cs="Times New Roman"/>
          <w:szCs w:val="22"/>
        </w:rPr>
        <w:instrText xml:space="preserve">simonet@deakin.edu.au" </w:instrText>
      </w:r>
      <w:r w:rsidRPr="006F0D33">
        <w:rPr>
          <w:rFonts w:eastAsia="Calibri" w:cs="Times New Roman"/>
          <w:szCs w:val="22"/>
        </w:rPr>
        <w:fldChar w:fldCharType="separate"/>
      </w:r>
      <w:r w:rsidRPr="006F0D33">
        <w:rPr>
          <w:rFonts w:eastAsia="Calibri" w:cs="Times New Roman"/>
          <w:szCs w:val="22"/>
        </w:rPr>
        <w:t>simonet@deakin.edu.au</w:t>
      </w:r>
      <w:r w:rsidRPr="006F0D33">
        <w:rPr>
          <w:rFonts w:eastAsia="Calibri" w:cs="Times New Roman"/>
          <w:szCs w:val="22"/>
        </w:rPr>
        <w:fldChar w:fldCharType="end"/>
      </w:r>
    </w:p>
    <w:p w:rsidR="00944A0A" w:rsidRPr="00BB5D46" w:rsidRDefault="00944A0A" w:rsidP="00944A0A">
      <w:pPr>
        <w:jc w:val="center"/>
        <w:rPr>
          <w:rFonts w:eastAsia="Calibri" w:cs="Times New Roman"/>
          <w:i/>
          <w:szCs w:val="22"/>
        </w:rPr>
      </w:pPr>
      <w:r w:rsidRPr="00BB5D46">
        <w:rPr>
          <w:rFonts w:eastAsia="Calibri" w:cs="Times New Roman"/>
          <w:i/>
          <w:szCs w:val="22"/>
        </w:rPr>
        <w:t>Membership Registrar</w:t>
      </w:r>
    </w:p>
    <w:p w:rsidR="00944A0A" w:rsidRPr="00BB5D46" w:rsidRDefault="00944A0A" w:rsidP="00944A0A">
      <w:pPr>
        <w:rPr>
          <w:rFonts w:eastAsia="Calibri" w:cs="Times New Roman"/>
          <w:i/>
          <w:szCs w:val="22"/>
        </w:rPr>
      </w:pPr>
      <w:r w:rsidRPr="00BB5D46">
        <w:rPr>
          <w:rFonts w:eastAsia="Times New Roman" w:cs="Times New Roman"/>
          <w:b/>
          <w:sz w:val="32"/>
          <w:szCs w:val="32"/>
          <w:lang w:val="en-US"/>
        </w:rPr>
        <w:t>Welcome to new members</w:t>
      </w:r>
    </w:p>
    <w:p w:rsidR="00895217" w:rsidRPr="00895217" w:rsidRDefault="00DF3874" w:rsidP="00895217">
      <w:pPr>
        <w:spacing w:line="259" w:lineRule="auto"/>
        <w:jc w:val="both"/>
        <w:rPr>
          <w:rFonts w:eastAsia="DengXian" w:cs="Times New Roman"/>
          <w:b/>
          <w:bCs/>
          <w:lang w:eastAsia="zh-CN"/>
        </w:rPr>
      </w:pPr>
      <w:hyperlink r:id="rId74" w:history="1">
        <w:proofErr w:type="spellStart"/>
        <w:r w:rsidR="00895217" w:rsidRPr="00895217">
          <w:rPr>
            <w:rFonts w:eastAsia="DengXian" w:cs="Times New Roman"/>
            <w:b/>
            <w:bCs/>
            <w:color w:val="0000FF"/>
            <w:u w:val="single"/>
            <w:lang w:eastAsia="zh-CN"/>
          </w:rPr>
          <w:t>Dr.</w:t>
        </w:r>
        <w:proofErr w:type="spellEnd"/>
        <w:r w:rsidR="00895217" w:rsidRPr="00895217">
          <w:rPr>
            <w:rFonts w:eastAsia="DengXian" w:cs="Times New Roman"/>
            <w:b/>
            <w:bCs/>
            <w:color w:val="0000FF"/>
            <w:u w:val="single"/>
            <w:lang w:eastAsia="zh-CN"/>
          </w:rPr>
          <w:t xml:space="preserve"> Kai Ludwigs</w:t>
        </w:r>
      </w:hyperlink>
    </w:p>
    <w:p w:rsidR="00895217" w:rsidRPr="00895217" w:rsidRDefault="00895217" w:rsidP="00895217">
      <w:pPr>
        <w:spacing w:line="259" w:lineRule="auto"/>
        <w:jc w:val="both"/>
        <w:rPr>
          <w:rFonts w:eastAsia="DengXian" w:cs="Times New Roman"/>
          <w:lang w:eastAsia="zh-CN"/>
        </w:rPr>
      </w:pPr>
      <w:r w:rsidRPr="00895217">
        <w:rPr>
          <w:rFonts w:eastAsia="DengXian" w:cs="Times New Roman"/>
          <w:lang w:eastAsia="zh-CN"/>
        </w:rPr>
        <w:t>Director, Happiness Research Organisation</w:t>
      </w:r>
    </w:p>
    <w:p w:rsidR="00895217" w:rsidRPr="00895217" w:rsidRDefault="00895217" w:rsidP="00895217">
      <w:pPr>
        <w:spacing w:line="259" w:lineRule="auto"/>
        <w:jc w:val="both"/>
        <w:rPr>
          <w:rFonts w:eastAsia="DengXian" w:cs="Times New Roman"/>
          <w:lang w:eastAsia="zh-CN"/>
        </w:rPr>
      </w:pPr>
      <w:r w:rsidRPr="00895217">
        <w:rPr>
          <w:rFonts w:eastAsia="DengXian" w:cs="Times New Roman"/>
          <w:b/>
          <w:bCs/>
          <w:lang w:eastAsia="zh-CN"/>
        </w:rPr>
        <w:t>Keywords:</w:t>
      </w:r>
      <w:r w:rsidRPr="00895217">
        <w:rPr>
          <w:rFonts w:eastAsia="DengXian" w:cs="Times New Roman"/>
          <w:lang w:eastAsia="zh-CN"/>
        </w:rPr>
        <w:t xml:space="preserve"> Happiness, ESM, DRM, Happiness </w:t>
      </w:r>
      <w:proofErr w:type="spellStart"/>
      <w:r w:rsidRPr="00895217">
        <w:rPr>
          <w:rFonts w:eastAsia="DengXian" w:cs="Times New Roman"/>
          <w:lang w:eastAsia="zh-CN"/>
        </w:rPr>
        <w:t>Analyzer</w:t>
      </w:r>
      <w:proofErr w:type="spellEnd"/>
    </w:p>
    <w:p w:rsidR="00895217" w:rsidRPr="00895217" w:rsidRDefault="00895217" w:rsidP="00895217">
      <w:pPr>
        <w:spacing w:line="259" w:lineRule="auto"/>
        <w:jc w:val="both"/>
        <w:rPr>
          <w:rFonts w:eastAsia="DengXian" w:cs="Times New Roman"/>
          <w:lang w:eastAsia="zh-CN"/>
        </w:rPr>
      </w:pPr>
    </w:p>
    <w:p w:rsidR="00895217" w:rsidRPr="00895217" w:rsidRDefault="00DF3874" w:rsidP="00895217">
      <w:pPr>
        <w:spacing w:line="259" w:lineRule="auto"/>
        <w:jc w:val="both"/>
        <w:rPr>
          <w:rFonts w:eastAsia="DengXian" w:cs="Times New Roman"/>
          <w:b/>
          <w:bCs/>
          <w:lang w:eastAsia="zh-CN"/>
        </w:rPr>
      </w:pPr>
      <w:hyperlink r:id="rId75" w:history="1">
        <w:r w:rsidR="00895217" w:rsidRPr="00895217">
          <w:rPr>
            <w:rFonts w:eastAsia="DengXian" w:cs="Times New Roman"/>
            <w:b/>
            <w:bCs/>
            <w:color w:val="0000FF"/>
            <w:u w:val="single"/>
            <w:lang w:eastAsia="zh-CN"/>
          </w:rPr>
          <w:t>Professor Cecilia Wong</w:t>
        </w:r>
      </w:hyperlink>
    </w:p>
    <w:p w:rsidR="00895217" w:rsidRPr="00895217" w:rsidRDefault="00895217" w:rsidP="00895217">
      <w:pPr>
        <w:spacing w:line="259" w:lineRule="auto"/>
        <w:jc w:val="both"/>
        <w:rPr>
          <w:rFonts w:eastAsia="DengXian" w:cs="Times New Roman"/>
          <w:lang w:eastAsia="zh-CN"/>
        </w:rPr>
      </w:pPr>
      <w:r w:rsidRPr="00895217">
        <w:rPr>
          <w:rFonts w:eastAsia="DengXian" w:cs="Times New Roman"/>
          <w:lang w:eastAsia="zh-CN"/>
        </w:rPr>
        <w:t>Professor of Spatial Planning, The University of Manchester</w:t>
      </w:r>
    </w:p>
    <w:p w:rsidR="00895217" w:rsidRPr="00895217" w:rsidRDefault="00895217" w:rsidP="00895217">
      <w:pPr>
        <w:spacing w:line="259" w:lineRule="auto"/>
        <w:jc w:val="both"/>
        <w:rPr>
          <w:rFonts w:eastAsia="DengXian" w:cs="Times New Roman"/>
          <w:lang w:eastAsia="zh-CN"/>
        </w:rPr>
      </w:pPr>
      <w:r w:rsidRPr="00895217">
        <w:rPr>
          <w:rFonts w:eastAsia="DengXian" w:cs="Times New Roman"/>
          <w:b/>
          <w:bCs/>
          <w:lang w:eastAsia="zh-CN"/>
        </w:rPr>
        <w:t>Keywords:</w:t>
      </w:r>
      <w:r w:rsidRPr="00895217">
        <w:rPr>
          <w:rFonts w:eastAsia="DengXian" w:cs="Times New Roman"/>
          <w:lang w:eastAsia="zh-CN"/>
        </w:rPr>
        <w:t xml:space="preserve"> Spatial planning, Community well-being, Quality of life, Indicators</w:t>
      </w:r>
    </w:p>
    <w:p w:rsidR="00895217" w:rsidRPr="00895217" w:rsidRDefault="00895217" w:rsidP="00895217">
      <w:pPr>
        <w:spacing w:line="259" w:lineRule="auto"/>
        <w:jc w:val="both"/>
        <w:rPr>
          <w:rFonts w:eastAsia="DengXian" w:cs="Times New Roman"/>
          <w:lang w:eastAsia="zh-CN"/>
        </w:rPr>
      </w:pPr>
    </w:p>
    <w:p w:rsidR="00895217" w:rsidRPr="00895217" w:rsidRDefault="00DF3874" w:rsidP="00895217">
      <w:pPr>
        <w:spacing w:line="259" w:lineRule="auto"/>
        <w:jc w:val="both"/>
        <w:rPr>
          <w:rFonts w:eastAsia="DengXian" w:cs="Times New Roman"/>
          <w:b/>
          <w:bCs/>
          <w:lang w:eastAsia="zh-CN"/>
        </w:rPr>
      </w:pPr>
      <w:hyperlink r:id="rId76" w:history="1">
        <w:proofErr w:type="spellStart"/>
        <w:r w:rsidR="00895217" w:rsidRPr="00895217">
          <w:rPr>
            <w:rFonts w:eastAsia="DengXian" w:cs="Times New Roman"/>
            <w:b/>
            <w:bCs/>
            <w:color w:val="0000FF"/>
            <w:u w:val="single"/>
            <w:lang w:eastAsia="zh-CN"/>
          </w:rPr>
          <w:t>Dr.</w:t>
        </w:r>
        <w:proofErr w:type="spellEnd"/>
        <w:r w:rsidR="00895217" w:rsidRPr="00895217">
          <w:rPr>
            <w:rFonts w:eastAsia="DengXian" w:cs="Times New Roman"/>
            <w:b/>
            <w:bCs/>
            <w:color w:val="0000FF"/>
            <w:u w:val="single"/>
            <w:lang w:eastAsia="zh-CN"/>
          </w:rPr>
          <w:t xml:space="preserve"> Allison Ross</w:t>
        </w:r>
      </w:hyperlink>
    </w:p>
    <w:p w:rsidR="00895217" w:rsidRPr="00895217" w:rsidRDefault="00895217" w:rsidP="00895217">
      <w:pPr>
        <w:spacing w:line="259" w:lineRule="auto"/>
        <w:jc w:val="both"/>
        <w:rPr>
          <w:rFonts w:eastAsia="DengXian" w:cs="Times New Roman"/>
          <w:lang w:eastAsia="zh-CN"/>
        </w:rPr>
      </w:pPr>
      <w:r w:rsidRPr="00895217">
        <w:rPr>
          <w:rFonts w:eastAsia="DengXian" w:cs="Times New Roman"/>
          <w:lang w:eastAsia="zh-CN"/>
        </w:rPr>
        <w:t>Assistant Research Professor, Arizona State University</w:t>
      </w:r>
    </w:p>
    <w:p w:rsidR="00895217" w:rsidRPr="00895217" w:rsidRDefault="00895217" w:rsidP="00895217">
      <w:pPr>
        <w:spacing w:line="259" w:lineRule="auto"/>
        <w:jc w:val="both"/>
        <w:rPr>
          <w:rFonts w:eastAsia="DengXian" w:cs="Times New Roman"/>
          <w:lang w:eastAsia="zh-CN"/>
        </w:rPr>
      </w:pPr>
      <w:r w:rsidRPr="00895217">
        <w:rPr>
          <w:rFonts w:eastAsia="DengXian" w:cs="Times New Roman"/>
          <w:b/>
          <w:bCs/>
          <w:lang w:eastAsia="zh-CN"/>
        </w:rPr>
        <w:t>Keywords:</w:t>
      </w:r>
      <w:r w:rsidRPr="00895217">
        <w:rPr>
          <w:rFonts w:eastAsia="DengXian" w:cs="Times New Roman"/>
          <w:lang w:eastAsia="zh-CN"/>
        </w:rPr>
        <w:t xml:space="preserve"> Physical activity, Subjective well-being, Sense of community</w:t>
      </w:r>
    </w:p>
    <w:p w:rsidR="00895217" w:rsidRPr="00895217" w:rsidRDefault="00895217" w:rsidP="00895217">
      <w:pPr>
        <w:spacing w:line="259" w:lineRule="auto"/>
        <w:jc w:val="both"/>
        <w:rPr>
          <w:rFonts w:eastAsia="DengXian" w:cs="Times New Roman"/>
          <w:lang w:eastAsia="zh-CN"/>
        </w:rPr>
      </w:pPr>
    </w:p>
    <w:p w:rsidR="00895217" w:rsidRPr="00895217" w:rsidRDefault="00DF3874" w:rsidP="00895217">
      <w:pPr>
        <w:spacing w:line="259" w:lineRule="auto"/>
        <w:jc w:val="both"/>
        <w:rPr>
          <w:rFonts w:eastAsia="DengXian" w:cs="Times New Roman"/>
          <w:b/>
          <w:bCs/>
          <w:lang w:eastAsia="zh-CN"/>
        </w:rPr>
      </w:pPr>
      <w:hyperlink r:id="rId77" w:history="1">
        <w:r w:rsidR="00895217" w:rsidRPr="00895217">
          <w:rPr>
            <w:rFonts w:eastAsia="DengXian" w:cs="Times New Roman"/>
            <w:b/>
            <w:bCs/>
            <w:color w:val="0000FF"/>
            <w:u w:val="single"/>
            <w:lang w:eastAsia="zh-CN"/>
          </w:rPr>
          <w:t>Dr Francesca Parente</w:t>
        </w:r>
      </w:hyperlink>
    </w:p>
    <w:p w:rsidR="00895217" w:rsidRPr="00895217" w:rsidRDefault="00895217" w:rsidP="00895217">
      <w:pPr>
        <w:spacing w:line="259" w:lineRule="auto"/>
        <w:jc w:val="both"/>
        <w:rPr>
          <w:rFonts w:eastAsia="DengXian" w:cs="Times New Roman"/>
          <w:lang w:eastAsia="zh-CN"/>
        </w:rPr>
      </w:pPr>
      <w:r w:rsidRPr="00895217">
        <w:rPr>
          <w:rFonts w:eastAsia="DengXian" w:cs="Times New Roman"/>
          <w:lang w:eastAsia="zh-CN"/>
        </w:rPr>
        <w:t>Research fellow, Italian Trade Agency</w:t>
      </w:r>
    </w:p>
    <w:p w:rsidR="00895217" w:rsidRPr="00895217" w:rsidRDefault="00895217" w:rsidP="00895217">
      <w:pPr>
        <w:spacing w:line="259" w:lineRule="auto"/>
        <w:jc w:val="both"/>
        <w:rPr>
          <w:rFonts w:eastAsia="DengXian" w:cs="Times New Roman"/>
          <w:lang w:eastAsia="zh-CN"/>
        </w:rPr>
      </w:pPr>
      <w:r w:rsidRPr="00895217">
        <w:rPr>
          <w:rFonts w:eastAsia="DengXian" w:cs="Times New Roman"/>
          <w:b/>
          <w:bCs/>
          <w:lang w:eastAsia="zh-CN"/>
        </w:rPr>
        <w:t>Keywords:</w:t>
      </w:r>
      <w:r w:rsidRPr="00895217">
        <w:rPr>
          <w:rFonts w:eastAsia="DengXian" w:cs="Times New Roman"/>
          <w:lang w:eastAsia="zh-CN"/>
        </w:rPr>
        <w:t xml:space="preserve"> Human development economics and well-being, Inequality, Socioeconomics, Regional studies</w:t>
      </w:r>
    </w:p>
    <w:p w:rsidR="00944A0A" w:rsidRPr="00BB5D46" w:rsidRDefault="00944A0A" w:rsidP="00944A0A">
      <w:pPr>
        <w:rPr>
          <w:rFonts w:eastAsia="Calibri" w:cs="Times New Roman"/>
          <w:i/>
          <w:szCs w:val="22"/>
          <w:u w:val="single"/>
        </w:rPr>
      </w:pPr>
    </w:p>
    <w:p w:rsidR="00944A0A" w:rsidRDefault="00944A0A" w:rsidP="00944A0A">
      <w:pPr>
        <w:pStyle w:val="NormalWeb"/>
        <w:rPr>
          <w:rFonts w:ascii="Arial" w:hAnsi="Arial" w:cs="Arial"/>
          <w:b/>
          <w:color w:val="000000"/>
          <w:sz w:val="20"/>
          <w:szCs w:val="20"/>
        </w:rPr>
      </w:pPr>
      <w:r>
        <w:rPr>
          <w:rFonts w:ascii="Arial" w:hAnsi="Arial" w:cs="Arial"/>
          <w:b/>
          <w:color w:val="000000"/>
          <w:sz w:val="20"/>
          <w:szCs w:val="20"/>
        </w:rPr>
        <w:t>-----------------------</w:t>
      </w:r>
    </w:p>
    <w:p w:rsidR="007608B1" w:rsidRPr="0070279D" w:rsidRDefault="0070279D" w:rsidP="0070279D">
      <w:pPr>
        <w:pStyle w:val="NormalWeb"/>
        <w:rPr>
          <w:rFonts w:ascii="Times New Roman" w:hAnsi="Times New Roman"/>
          <w:b/>
          <w:color w:val="000000"/>
          <w:sz w:val="20"/>
          <w:szCs w:val="20"/>
        </w:rPr>
      </w:pPr>
      <w:r>
        <w:rPr>
          <w:rFonts w:ascii="Times New Roman" w:hAnsi="Times New Roman"/>
          <w:b/>
          <w:color w:val="000000"/>
          <w:sz w:val="20"/>
          <w:szCs w:val="20"/>
        </w:rPr>
        <w:t>References</w:t>
      </w:r>
    </w:p>
    <w:p w:rsidR="007608B1" w:rsidRDefault="007608B1" w:rsidP="007608B1">
      <w:pPr>
        <w:pStyle w:val="EndNoteBibliography"/>
        <w:ind w:left="720" w:hanging="720"/>
        <w:rPr>
          <w:sz w:val="20"/>
          <w:szCs w:val="20"/>
        </w:rPr>
      </w:pPr>
      <w:r w:rsidRPr="0070279D">
        <w:rPr>
          <w:sz w:val="20"/>
          <w:szCs w:val="20"/>
        </w:rPr>
        <w:lastRenderedPageBreak/>
        <w:fldChar w:fldCharType="begin"/>
      </w:r>
      <w:r w:rsidRPr="0070279D">
        <w:rPr>
          <w:sz w:val="20"/>
          <w:szCs w:val="20"/>
        </w:rPr>
        <w:instrText xml:space="preserve"> ADDIN EN.REFLIST </w:instrText>
      </w:r>
      <w:r w:rsidRPr="0070279D">
        <w:rPr>
          <w:sz w:val="20"/>
          <w:szCs w:val="20"/>
        </w:rPr>
        <w:fldChar w:fldCharType="separate"/>
      </w:r>
      <w:r w:rsidRPr="0070279D">
        <w:rPr>
          <w:sz w:val="20"/>
          <w:szCs w:val="20"/>
        </w:rPr>
        <w:t xml:space="preserve">Capic, T., Li, N., &amp; Cummins, R. A. (2018). Confirmation of Subjective Wellbeing Set-points: Foundational for Subjective Social Indicators. </w:t>
      </w:r>
      <w:r w:rsidRPr="0070279D">
        <w:rPr>
          <w:i/>
          <w:sz w:val="20"/>
          <w:szCs w:val="20"/>
        </w:rPr>
        <w:t>Social Indicators Research, 137</w:t>
      </w:r>
      <w:r w:rsidRPr="0070279D">
        <w:rPr>
          <w:sz w:val="20"/>
          <w:szCs w:val="20"/>
        </w:rPr>
        <w:t xml:space="preserve">(1), 1-28. Retrieved from 10.1007/s11205-017-1585-5. </w:t>
      </w:r>
    </w:p>
    <w:p w:rsidR="0070279D" w:rsidRPr="0070279D" w:rsidRDefault="0070279D" w:rsidP="007608B1">
      <w:pPr>
        <w:pStyle w:val="EndNoteBibliography"/>
        <w:ind w:left="720" w:hanging="720"/>
        <w:rPr>
          <w:sz w:val="20"/>
          <w:szCs w:val="20"/>
        </w:rPr>
      </w:pPr>
    </w:p>
    <w:p w:rsidR="007608B1" w:rsidRDefault="007608B1" w:rsidP="007608B1">
      <w:pPr>
        <w:pStyle w:val="EndNoteBibliography"/>
        <w:ind w:left="720" w:hanging="720"/>
        <w:rPr>
          <w:sz w:val="20"/>
          <w:szCs w:val="20"/>
        </w:rPr>
      </w:pPr>
      <w:r w:rsidRPr="0070279D">
        <w:rPr>
          <w:sz w:val="20"/>
          <w:szCs w:val="20"/>
        </w:rPr>
        <w:t xml:space="preserve">Cummins, R. A. (2019b). Jeromy Bentham, Utility, and the Golden Triangle of Happiness. In G. Brulé &amp; C. Suter (Eds.), </w:t>
      </w:r>
      <w:r w:rsidRPr="0070279D">
        <w:rPr>
          <w:i/>
          <w:sz w:val="20"/>
          <w:szCs w:val="20"/>
        </w:rPr>
        <w:t>Wealth(s) and Subjective Well-Being. Social Indicators Research Series, vol 76.</w:t>
      </w:r>
      <w:r w:rsidRPr="0070279D">
        <w:rPr>
          <w:sz w:val="20"/>
          <w:szCs w:val="20"/>
        </w:rPr>
        <w:t xml:space="preserve"> (pp. 67-83). Cham: Springer </w:t>
      </w:r>
      <w:hyperlink r:id="rId78" w:anchor="toc" w:history="1">
        <w:r w:rsidRPr="0070279D">
          <w:rPr>
            <w:rStyle w:val="Hyperlink"/>
            <w:sz w:val="20"/>
            <w:szCs w:val="20"/>
          </w:rPr>
          <w:t>https://rd.springer.com/book/10.1007%2F978-3-030-05535-6#toc</w:t>
        </w:r>
      </w:hyperlink>
      <w:r w:rsidRPr="0070279D">
        <w:rPr>
          <w:sz w:val="20"/>
          <w:szCs w:val="20"/>
        </w:rPr>
        <w:t>.</w:t>
      </w:r>
    </w:p>
    <w:p w:rsidR="0070279D" w:rsidRPr="0070279D" w:rsidRDefault="0070279D" w:rsidP="007608B1">
      <w:pPr>
        <w:pStyle w:val="EndNoteBibliography"/>
        <w:ind w:left="720" w:hanging="720"/>
        <w:rPr>
          <w:sz w:val="20"/>
          <w:szCs w:val="20"/>
        </w:rPr>
      </w:pPr>
    </w:p>
    <w:p w:rsidR="007608B1" w:rsidRDefault="007608B1" w:rsidP="007608B1">
      <w:pPr>
        <w:pStyle w:val="EndNoteBibliography"/>
        <w:ind w:left="720" w:hanging="720"/>
        <w:rPr>
          <w:sz w:val="20"/>
          <w:szCs w:val="20"/>
        </w:rPr>
      </w:pPr>
      <w:r w:rsidRPr="0070279D">
        <w:rPr>
          <w:sz w:val="20"/>
          <w:szCs w:val="20"/>
        </w:rPr>
        <w:t xml:space="preserve">Davern, M., Cummins, R. A., &amp; Stokes, M. (2007). Subjective wellbeing as an affective/cognitive construct. </w:t>
      </w:r>
      <w:r w:rsidRPr="0070279D">
        <w:rPr>
          <w:i/>
          <w:sz w:val="20"/>
          <w:szCs w:val="20"/>
        </w:rPr>
        <w:t>Journal of Happiness Studies, 8</w:t>
      </w:r>
      <w:r w:rsidRPr="0070279D">
        <w:rPr>
          <w:sz w:val="20"/>
          <w:szCs w:val="20"/>
        </w:rPr>
        <w:t>(4), 429-449. doi:10.1007/s10902-007-9066-1</w:t>
      </w:r>
    </w:p>
    <w:p w:rsidR="0070279D" w:rsidRPr="0070279D" w:rsidRDefault="0070279D" w:rsidP="007608B1">
      <w:pPr>
        <w:pStyle w:val="EndNoteBibliography"/>
        <w:ind w:left="720" w:hanging="720"/>
        <w:rPr>
          <w:sz w:val="20"/>
          <w:szCs w:val="20"/>
        </w:rPr>
      </w:pPr>
    </w:p>
    <w:p w:rsidR="007608B1" w:rsidRDefault="007608B1" w:rsidP="007608B1">
      <w:pPr>
        <w:pStyle w:val="EndNoteBibliography"/>
        <w:ind w:left="720" w:hanging="720"/>
        <w:rPr>
          <w:sz w:val="20"/>
          <w:szCs w:val="20"/>
        </w:rPr>
      </w:pPr>
      <w:r w:rsidRPr="0070279D">
        <w:rPr>
          <w:sz w:val="20"/>
          <w:szCs w:val="20"/>
        </w:rPr>
        <w:t xml:space="preserve">Jefferson, T. (1776). </w:t>
      </w:r>
      <w:r w:rsidRPr="0070279D">
        <w:rPr>
          <w:i/>
          <w:sz w:val="20"/>
          <w:szCs w:val="20"/>
        </w:rPr>
        <w:t>United States Declaration of Independence</w:t>
      </w:r>
      <w:r w:rsidRPr="0070279D">
        <w:rPr>
          <w:sz w:val="20"/>
          <w:szCs w:val="20"/>
        </w:rPr>
        <w:t>. Philadelphia: John Dunlap.</w:t>
      </w:r>
    </w:p>
    <w:p w:rsidR="0070279D" w:rsidRPr="0070279D" w:rsidRDefault="0070279D" w:rsidP="007608B1">
      <w:pPr>
        <w:pStyle w:val="EndNoteBibliography"/>
        <w:ind w:left="720" w:hanging="720"/>
        <w:rPr>
          <w:sz w:val="20"/>
          <w:szCs w:val="20"/>
        </w:rPr>
      </w:pPr>
    </w:p>
    <w:p w:rsidR="007608B1" w:rsidRDefault="007608B1" w:rsidP="007608B1">
      <w:pPr>
        <w:pStyle w:val="EndNoteBibliography"/>
        <w:ind w:left="720" w:hanging="720"/>
        <w:rPr>
          <w:sz w:val="20"/>
          <w:szCs w:val="20"/>
        </w:rPr>
      </w:pPr>
      <w:r w:rsidRPr="0070279D">
        <w:rPr>
          <w:sz w:val="20"/>
          <w:szCs w:val="20"/>
        </w:rPr>
        <w:t xml:space="preserve">Landau, S. I. (2005). Johnson's influence on Webster and Worcester in early American lexicography. </w:t>
      </w:r>
      <w:r w:rsidRPr="0070279D">
        <w:rPr>
          <w:i/>
          <w:sz w:val="20"/>
          <w:szCs w:val="20"/>
        </w:rPr>
        <w:t>International Journal of Lexicography, 18</w:t>
      </w:r>
      <w:r w:rsidRPr="0070279D">
        <w:rPr>
          <w:sz w:val="20"/>
          <w:szCs w:val="20"/>
        </w:rPr>
        <w:t xml:space="preserve">(2), 217-229. </w:t>
      </w:r>
    </w:p>
    <w:p w:rsidR="0070279D" w:rsidRPr="0070279D" w:rsidRDefault="0070279D" w:rsidP="007608B1">
      <w:pPr>
        <w:pStyle w:val="EndNoteBibliography"/>
        <w:ind w:left="720" w:hanging="720"/>
        <w:rPr>
          <w:sz w:val="20"/>
          <w:szCs w:val="20"/>
        </w:rPr>
      </w:pPr>
    </w:p>
    <w:p w:rsidR="007608B1" w:rsidRDefault="007608B1" w:rsidP="007608B1">
      <w:pPr>
        <w:pStyle w:val="EndNoteBibliography"/>
        <w:ind w:left="720" w:hanging="720"/>
        <w:rPr>
          <w:rStyle w:val="Hyperlink"/>
          <w:sz w:val="20"/>
          <w:szCs w:val="20"/>
        </w:rPr>
      </w:pPr>
      <w:r w:rsidRPr="0070279D">
        <w:rPr>
          <w:sz w:val="20"/>
          <w:szCs w:val="20"/>
        </w:rPr>
        <w:t xml:space="preserve">Merriam-Webster. (2019). Online dictionary. Retrieved from </w:t>
      </w:r>
      <w:hyperlink r:id="rId79" w:history="1">
        <w:r w:rsidRPr="0070279D">
          <w:rPr>
            <w:rStyle w:val="Hyperlink"/>
            <w:sz w:val="20"/>
            <w:szCs w:val="20"/>
          </w:rPr>
          <w:t>http://www.merriam-webster.com</w:t>
        </w:r>
      </w:hyperlink>
    </w:p>
    <w:p w:rsidR="0070279D" w:rsidRPr="0070279D" w:rsidRDefault="0070279D" w:rsidP="007608B1">
      <w:pPr>
        <w:pStyle w:val="EndNoteBibliography"/>
        <w:ind w:left="720" w:hanging="720"/>
        <w:rPr>
          <w:sz w:val="20"/>
          <w:szCs w:val="20"/>
        </w:rPr>
      </w:pPr>
    </w:p>
    <w:p w:rsidR="007608B1" w:rsidRPr="0070279D" w:rsidRDefault="007608B1" w:rsidP="007608B1">
      <w:pPr>
        <w:pStyle w:val="EndNoteBibliography"/>
        <w:ind w:left="720" w:hanging="720"/>
        <w:rPr>
          <w:sz w:val="20"/>
          <w:szCs w:val="20"/>
        </w:rPr>
      </w:pPr>
      <w:r w:rsidRPr="0070279D">
        <w:rPr>
          <w:sz w:val="20"/>
          <w:szCs w:val="20"/>
        </w:rPr>
        <w:t xml:space="preserve">Shannon, T. J. (2016). </w:t>
      </w:r>
      <w:r w:rsidRPr="0070279D">
        <w:rPr>
          <w:i/>
          <w:sz w:val="20"/>
          <w:szCs w:val="20"/>
        </w:rPr>
        <w:t>What About That Pursuit of Happiness?</w:t>
      </w:r>
      <w:r w:rsidRPr="0070279D">
        <w:rPr>
          <w:sz w:val="20"/>
          <w:szCs w:val="20"/>
        </w:rPr>
        <w:t xml:space="preserve"> Gettysburg Gettysburg College </w:t>
      </w:r>
      <w:hyperlink r:id="rId80" w:history="1">
        <w:r w:rsidRPr="0070279D">
          <w:rPr>
            <w:rStyle w:val="Hyperlink"/>
            <w:sz w:val="20"/>
            <w:szCs w:val="20"/>
          </w:rPr>
          <w:t>https://cupola.gettysburg.edu/cgi/viewcontent.cgi?referer=https://en.wikipedia.org/</w:t>
        </w:r>
      </w:hyperlink>
    </w:p>
    <w:p w:rsidR="007608B1" w:rsidRDefault="007608B1" w:rsidP="007608B1">
      <w:pPr>
        <w:pStyle w:val="EndNoteBibliography"/>
        <w:ind w:left="720" w:hanging="720"/>
        <w:rPr>
          <w:sz w:val="20"/>
          <w:szCs w:val="20"/>
        </w:rPr>
      </w:pPr>
      <w:r w:rsidRPr="0070279D">
        <w:rPr>
          <w:sz w:val="20"/>
          <w:szCs w:val="20"/>
        </w:rPr>
        <w:t>&amp;httpsredir=1&amp;article=1074&amp;context=histfac.</w:t>
      </w:r>
    </w:p>
    <w:p w:rsidR="0070279D" w:rsidRPr="0070279D" w:rsidRDefault="0070279D" w:rsidP="007608B1">
      <w:pPr>
        <w:pStyle w:val="EndNoteBibliography"/>
        <w:ind w:left="720" w:hanging="720"/>
        <w:rPr>
          <w:sz w:val="20"/>
          <w:szCs w:val="20"/>
        </w:rPr>
      </w:pPr>
    </w:p>
    <w:p w:rsidR="007608B1" w:rsidRDefault="007608B1" w:rsidP="007608B1">
      <w:pPr>
        <w:pStyle w:val="EndNoteBibliography"/>
        <w:ind w:left="720" w:hanging="720"/>
        <w:rPr>
          <w:sz w:val="20"/>
          <w:szCs w:val="20"/>
        </w:rPr>
      </w:pPr>
      <w:r w:rsidRPr="0070279D">
        <w:rPr>
          <w:sz w:val="20"/>
          <w:szCs w:val="20"/>
        </w:rPr>
        <w:t xml:space="preserve">Webster, N. (1806). </w:t>
      </w:r>
      <w:r w:rsidRPr="0070279D">
        <w:rPr>
          <w:i/>
          <w:sz w:val="20"/>
          <w:szCs w:val="20"/>
        </w:rPr>
        <w:t>A Compendious Dictionary of the English Language</w:t>
      </w:r>
      <w:r w:rsidRPr="0070279D">
        <w:rPr>
          <w:sz w:val="20"/>
          <w:szCs w:val="20"/>
        </w:rPr>
        <w:t>. New Haven: Hartford.</w:t>
      </w:r>
    </w:p>
    <w:p w:rsidR="0070279D" w:rsidRPr="0070279D" w:rsidRDefault="0070279D" w:rsidP="007608B1">
      <w:pPr>
        <w:pStyle w:val="EndNoteBibliography"/>
        <w:ind w:left="720" w:hanging="720"/>
        <w:rPr>
          <w:sz w:val="20"/>
          <w:szCs w:val="20"/>
        </w:rPr>
      </w:pPr>
    </w:p>
    <w:p w:rsidR="007608B1" w:rsidRDefault="007608B1" w:rsidP="007608B1">
      <w:pPr>
        <w:pStyle w:val="EndNoteBibliography"/>
        <w:ind w:left="720" w:hanging="720"/>
        <w:rPr>
          <w:sz w:val="20"/>
          <w:szCs w:val="20"/>
        </w:rPr>
      </w:pPr>
      <w:r w:rsidRPr="0070279D">
        <w:rPr>
          <w:sz w:val="20"/>
          <w:szCs w:val="20"/>
        </w:rPr>
        <w:t xml:space="preserve">Webster, N. (1828). </w:t>
      </w:r>
      <w:r w:rsidRPr="0070279D">
        <w:rPr>
          <w:i/>
          <w:sz w:val="20"/>
          <w:szCs w:val="20"/>
        </w:rPr>
        <w:t>An American Dictionary of the English Language. (2 vols.)</w:t>
      </w:r>
      <w:r w:rsidRPr="0070279D">
        <w:rPr>
          <w:sz w:val="20"/>
          <w:szCs w:val="20"/>
        </w:rPr>
        <w:t>. New York: S. Converse.</w:t>
      </w:r>
    </w:p>
    <w:p w:rsidR="0070279D" w:rsidRPr="0070279D" w:rsidRDefault="0070279D" w:rsidP="007608B1">
      <w:pPr>
        <w:pStyle w:val="EndNoteBibliography"/>
        <w:ind w:left="720" w:hanging="720"/>
        <w:rPr>
          <w:sz w:val="20"/>
          <w:szCs w:val="20"/>
        </w:rPr>
      </w:pPr>
    </w:p>
    <w:p w:rsidR="007608B1" w:rsidRPr="0070279D" w:rsidRDefault="007608B1" w:rsidP="007608B1">
      <w:pPr>
        <w:pStyle w:val="EndNoteBibliography"/>
        <w:ind w:left="720" w:hanging="720"/>
        <w:rPr>
          <w:sz w:val="20"/>
          <w:szCs w:val="20"/>
        </w:rPr>
      </w:pPr>
      <w:r w:rsidRPr="0070279D">
        <w:rPr>
          <w:sz w:val="20"/>
          <w:szCs w:val="20"/>
        </w:rPr>
        <w:t xml:space="preserve">Webster, N. (1913). </w:t>
      </w:r>
      <w:r w:rsidRPr="0070279D">
        <w:rPr>
          <w:i/>
          <w:sz w:val="20"/>
          <w:szCs w:val="20"/>
        </w:rPr>
        <w:t>Webster's Revised Unabridged Dictionary of the English Language: The Dictionary Proper Being the Authentic Ed. of Webster's International Dictionary of One Thousand Eight Hundred and Ninety, Ed. Under the Supervision of Noah Porter... to which is Now Added a Department of New Words, Together with Many Valuable Special Features</w:t>
      </w:r>
      <w:r w:rsidRPr="0070279D">
        <w:rPr>
          <w:sz w:val="20"/>
          <w:szCs w:val="20"/>
        </w:rPr>
        <w:t>. Springfield, Mass: G. &amp; C. Merriam Company.</w:t>
      </w:r>
    </w:p>
    <w:p w:rsidR="00944A0A" w:rsidRDefault="007608B1" w:rsidP="007608B1">
      <w:pPr>
        <w:rPr>
          <w:rFonts w:eastAsia="Arial" w:cs="Times New Roman"/>
          <w:b/>
          <w:sz w:val="28"/>
          <w:szCs w:val="28"/>
        </w:rPr>
      </w:pPr>
      <w:r w:rsidRPr="0070279D">
        <w:rPr>
          <w:sz w:val="20"/>
          <w:szCs w:val="20"/>
        </w:rPr>
        <w:fldChar w:fldCharType="end"/>
      </w:r>
    </w:p>
    <w:p w:rsidR="00B73A75" w:rsidRPr="00BB5D46" w:rsidRDefault="00B73A75" w:rsidP="00B73A75">
      <w:pPr>
        <w:rPr>
          <w:rFonts w:eastAsia="Arial" w:cs="Times New Roman"/>
          <w:b/>
          <w:sz w:val="28"/>
          <w:szCs w:val="28"/>
        </w:rPr>
      </w:pPr>
      <w:proofErr w:type="spellStart"/>
      <w:r w:rsidRPr="00670265">
        <w:rPr>
          <w:rFonts w:eastAsia="Arial" w:cs="Times New Roman"/>
          <w:b/>
          <w:sz w:val="28"/>
          <w:szCs w:val="28"/>
          <w:highlight w:val="green"/>
        </w:rPr>
        <w:t>ACQol</w:t>
      </w:r>
      <w:proofErr w:type="spellEnd"/>
      <w:r w:rsidRPr="00670265">
        <w:rPr>
          <w:rFonts w:eastAsia="Arial" w:cs="Times New Roman"/>
          <w:b/>
          <w:sz w:val="28"/>
          <w:szCs w:val="28"/>
          <w:highlight w:val="green"/>
        </w:rPr>
        <w:t xml:space="preserve"> Bulletin Vol 3/</w:t>
      </w:r>
      <w:r w:rsidR="001119DC" w:rsidRPr="00670265">
        <w:rPr>
          <w:rFonts w:eastAsia="Arial" w:cs="Times New Roman"/>
          <w:b/>
          <w:sz w:val="28"/>
          <w:szCs w:val="28"/>
          <w:highlight w:val="green"/>
        </w:rPr>
        <w:t>38</w:t>
      </w:r>
      <w:r w:rsidRPr="00670265">
        <w:rPr>
          <w:rFonts w:eastAsia="Arial" w:cs="Times New Roman"/>
          <w:b/>
          <w:sz w:val="28"/>
          <w:szCs w:val="28"/>
          <w:highlight w:val="green"/>
        </w:rPr>
        <w:t xml:space="preserve">: </w:t>
      </w:r>
      <w:r w:rsidR="001119DC" w:rsidRPr="00670265">
        <w:rPr>
          <w:rFonts w:eastAsia="Arial" w:cs="Times New Roman"/>
          <w:b/>
          <w:sz w:val="28"/>
          <w:szCs w:val="28"/>
          <w:highlight w:val="green"/>
        </w:rPr>
        <w:t>190919</w:t>
      </w:r>
      <w:r w:rsidRPr="00BB5D46">
        <w:rPr>
          <w:rFonts w:eastAsia="Arial" w:cs="Times New Roman"/>
          <w:b/>
          <w:sz w:val="28"/>
          <w:szCs w:val="28"/>
        </w:rPr>
        <w:t xml:space="preserve"> </w:t>
      </w:r>
    </w:p>
    <w:p w:rsidR="00B73A75" w:rsidRPr="00BB5D46" w:rsidRDefault="00B73A75" w:rsidP="00B73A75">
      <w:pPr>
        <w:rPr>
          <w:rFonts w:eastAsia="Arial" w:cs="Times New Roman"/>
          <w:b/>
          <w:sz w:val="28"/>
          <w:szCs w:val="28"/>
        </w:rPr>
      </w:pPr>
      <w:r w:rsidRPr="00BB5D46">
        <w:rPr>
          <w:rFonts w:eastAsia="Arial" w:cs="Times New Roman"/>
          <w:b/>
          <w:sz w:val="28"/>
          <w:szCs w:val="28"/>
        </w:rPr>
        <w:t>Bulletin of the Australian Centre on Quality of Life</w:t>
      </w:r>
    </w:p>
    <w:p w:rsidR="00B73A75" w:rsidRPr="00BB5D46" w:rsidRDefault="00DF3874" w:rsidP="00B73A75">
      <w:pPr>
        <w:rPr>
          <w:rFonts w:eastAsia="Arial" w:cs="Times New Roman"/>
        </w:rPr>
      </w:pPr>
      <w:hyperlink r:id="rId81" w:history="1">
        <w:r w:rsidR="00B73A75" w:rsidRPr="00BB5D46">
          <w:rPr>
            <w:rFonts w:eastAsia="Arial" w:cs="Times New Roman"/>
            <w:color w:val="0563C1"/>
            <w:u w:val="single"/>
          </w:rPr>
          <w:t>http://www.acqol.com.au/</w:t>
        </w:r>
      </w:hyperlink>
    </w:p>
    <w:p w:rsidR="00B73A75" w:rsidRPr="00AE19B8" w:rsidRDefault="00B73A75" w:rsidP="00B73A75">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B73A75" w:rsidRPr="00BB5D46" w:rsidRDefault="00B73A75" w:rsidP="00B73A75">
      <w:pPr>
        <w:rPr>
          <w:rFonts w:eastAsia="Arial" w:cs="Times New Roman"/>
          <w:b/>
        </w:rPr>
      </w:pPr>
      <w:r w:rsidRPr="00BB5D46">
        <w:rPr>
          <w:rFonts w:eastAsia="Arial" w:cs="Times New Roman"/>
          <w:b/>
        </w:rPr>
        <w:t xml:space="preserve">Back-issues of the Bulletin are available at </w:t>
      </w:r>
      <w:hyperlink r:id="rId82" w:anchor="bulletins" w:history="1">
        <w:r w:rsidRPr="00BB5D46">
          <w:rPr>
            <w:rFonts w:eastAsia="Arial" w:cs="Times New Roman"/>
            <w:color w:val="0563C1"/>
            <w:u w:val="single"/>
          </w:rPr>
          <w:t>http://www.acqol.com.au/projects#bulletins</w:t>
        </w:r>
      </w:hyperlink>
    </w:p>
    <w:p w:rsidR="00B73A75" w:rsidRPr="00BB5D46" w:rsidRDefault="00B73A75" w:rsidP="00B73A75">
      <w:pPr>
        <w:rPr>
          <w:rFonts w:eastAsia="Arial" w:cs="Times New Roman"/>
          <w:color w:val="0563C1"/>
          <w:u w:val="single"/>
        </w:rPr>
      </w:pPr>
    </w:p>
    <w:p w:rsidR="00B73A75" w:rsidRPr="00BB5D46" w:rsidRDefault="00B73A75" w:rsidP="00B73A75">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B73A75" w:rsidRDefault="00B73A75" w:rsidP="00B73A75">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B73A75" w:rsidRDefault="00B73A75" w:rsidP="00B73A75">
      <w:pPr>
        <w:rPr>
          <w:rFonts w:eastAsia="Arial" w:cs="Times New Roman"/>
        </w:rPr>
      </w:pPr>
    </w:p>
    <w:p w:rsidR="00B73A75" w:rsidRPr="00BB5D46" w:rsidRDefault="00B73A75" w:rsidP="00B73A75">
      <w:pPr>
        <w:jc w:val="center"/>
        <w:rPr>
          <w:rFonts w:eastAsia="Arial" w:cs="Times New Roman"/>
          <w:b/>
          <w:sz w:val="32"/>
          <w:szCs w:val="32"/>
        </w:rPr>
      </w:pPr>
      <w:r w:rsidRPr="00BB5D46">
        <w:rPr>
          <w:rFonts w:eastAsia="Arial" w:cs="Times New Roman"/>
          <w:b/>
          <w:sz w:val="32"/>
          <w:szCs w:val="32"/>
        </w:rPr>
        <w:t>Paper for private study</w:t>
      </w:r>
    </w:p>
    <w:p w:rsidR="00B73A75" w:rsidRDefault="00B73A75" w:rsidP="00B73A75">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B73A75" w:rsidRDefault="00B73A75" w:rsidP="00B73A75">
      <w:pPr>
        <w:rPr>
          <w:rFonts w:eastAsia="Arial" w:cs="Times New Roman"/>
        </w:rPr>
      </w:pPr>
    </w:p>
    <w:p w:rsidR="00F33B8D" w:rsidRDefault="00F33B8D" w:rsidP="00F33B8D">
      <w:r w:rsidRPr="008E373F">
        <w:rPr>
          <w:b/>
        </w:rPr>
        <w:t>Background:</w:t>
      </w:r>
      <w:r w:rsidRPr="008E373F">
        <w:t xml:space="preserve"> </w:t>
      </w:r>
      <w:r>
        <w:t xml:space="preserve">Parents have many responsibilities to their children. One is the effective transfer of information concerning beliefs about family and societal functioning. </w:t>
      </w:r>
      <w:r w:rsidR="00AF3277">
        <w:t xml:space="preserve">Such </w:t>
      </w:r>
      <w:r>
        <w:t>beliefs install fairly easily, given genetic assistance for such learning and the 24/7 presence of a parent, at least in early childhood. Th</w:t>
      </w:r>
      <w:r w:rsidR="00AF3277">
        <w:t xml:space="preserve">is </w:t>
      </w:r>
      <w:r w:rsidR="002F74D7">
        <w:t>learning</w:t>
      </w:r>
      <w:r>
        <w:t xml:space="preserve"> facilitate</w:t>
      </w:r>
      <w:r w:rsidR="00AF3277">
        <w:t>s</w:t>
      </w:r>
      <w:r>
        <w:t xml:space="preserve"> the child’s integration into family roles, thereby meeting parental expectations. </w:t>
      </w:r>
      <w:r w:rsidR="00AF3277">
        <w:t>It</w:t>
      </w:r>
      <w:r>
        <w:t xml:space="preserve"> also assist effective interaction with non- family members of their society. Within the mix of these beliefs is learning how to deal with feelings of happiness.</w:t>
      </w:r>
    </w:p>
    <w:p w:rsidR="00F33B8D" w:rsidRDefault="00F33B8D" w:rsidP="00F33B8D"/>
    <w:p w:rsidR="00F33B8D" w:rsidRDefault="00F33B8D" w:rsidP="00F33B8D">
      <w:r>
        <w:lastRenderedPageBreak/>
        <w:t xml:space="preserve">There is great diversity between cultures in the extent to which child happiness is valued. For example, </w:t>
      </w:r>
      <w:r>
        <w:fldChar w:fldCharType="begin"/>
      </w:r>
      <w:r>
        <w:instrText xml:space="preserve"> ADDIN EN.CITE &lt;EndNote&gt;&lt;Cite AuthorYear="1"&gt;&lt;Author&gt;Nunn&lt;/Author&gt;&lt;Year&gt;2015&lt;/Year&gt;&lt;RecNum&gt;3932&lt;/RecNum&gt;&lt;DisplayText&gt;Nunn (2015)&lt;/DisplayText&gt;&lt;record&gt;&lt;rec-number&gt;3932&lt;/rec-number&gt;&lt;foreign-keys&gt;&lt;key app="EN" db-id="z2xarpe9cfrvp4ezdxk5ddx9dsrzr05f22sa" timestamp="1568436960"&gt;3932&lt;/key&gt;&lt;/foreign-keys&gt;&lt;ref-type name="Book"&gt;6&lt;/ref-type&gt;&lt;contributors&gt;&lt;authors&gt;&lt;author&gt;Nunn, C.&lt;/author&gt;&lt;/authors&gt;&lt;/contributors&gt;&lt;titles&gt;&lt;title&gt;The Value of Education; Learning for life: Global report&lt;/title&gt;&lt;/titles&gt;&lt;dates&gt;&lt;year&gt;2015&lt;/year&gt;&lt;/dates&gt;&lt;pub-location&gt;London&lt;/pub-location&gt;&lt;publisher&gt;HSBC Holdings plc http://online.wsj.com/public/resources/documents/HSBCSurvey.pdf&lt;/publisher&gt;&lt;urls&gt;&lt;/urls&gt;&lt;/record&gt;&lt;/Cite&gt;&lt;/EndNote&gt;</w:instrText>
      </w:r>
      <w:r>
        <w:fldChar w:fldCharType="separate"/>
      </w:r>
      <w:r>
        <w:rPr>
          <w:noProof/>
        </w:rPr>
        <w:t>Nunn (2015)</w:t>
      </w:r>
      <w:r>
        <w:fldChar w:fldCharType="end"/>
      </w:r>
      <w:r>
        <w:t xml:space="preserve"> reports a survey of 4,592 parents in </w:t>
      </w:r>
      <w:r w:rsidRPr="00911014">
        <w:t>15 countries</w:t>
      </w:r>
      <w:r>
        <w:t xml:space="preserve">. Parents were asked to rate various attitudes towards their child including </w:t>
      </w:r>
      <w:r w:rsidRPr="00A2688B">
        <w:rPr>
          <w:rFonts w:cs="Times New Roman"/>
        </w:rPr>
        <w:t>“</w:t>
      </w:r>
      <w:r w:rsidRPr="00A2688B">
        <w:rPr>
          <w:rFonts w:cs="Times New Roman"/>
          <w:i/>
          <w:iCs/>
        </w:rPr>
        <w:t>What are the three most important goals that you want your child to achieve as an adult?</w:t>
      </w:r>
      <w:r>
        <w:rPr>
          <w:rFonts w:cs="Times New Roman"/>
          <w:i/>
          <w:iCs/>
        </w:rPr>
        <w:t xml:space="preserve"> </w:t>
      </w:r>
      <w:r w:rsidRPr="006D2E71">
        <w:rPr>
          <w:rFonts w:cs="Times New Roman"/>
          <w:iCs/>
        </w:rPr>
        <w:t>(p.9).</w:t>
      </w:r>
      <w:r w:rsidRPr="006D2E71">
        <w:rPr>
          <w:rFonts w:cs="Times New Roman"/>
        </w:rPr>
        <w:t xml:space="preserve"> </w:t>
      </w:r>
      <w:r w:rsidRPr="00A2688B">
        <w:rPr>
          <w:rFonts w:cs="Times New Roman"/>
        </w:rPr>
        <w:t xml:space="preserve">The </w:t>
      </w:r>
      <w:r>
        <w:t xml:space="preserve">percentage of parents who rated ‘Be happy in life’ in their top three goals, ranged from 79.5% (averaging France, Canada, Australia, UK) to  52.3% (Indonesia, Turkey, Malaysia, India). In contrast, the same country groupings rated ‘Be successful in their career’ as 21.8% and 40.1% respectively. </w:t>
      </w:r>
    </w:p>
    <w:p w:rsidR="00F33B8D" w:rsidRDefault="00F33B8D" w:rsidP="00F33B8D"/>
    <w:p w:rsidR="00F33B8D" w:rsidRDefault="00F33B8D" w:rsidP="00F33B8D">
      <w:r>
        <w:t xml:space="preserve">While these comparative statistics are influenced by numerous cultural and religious factors, it is notable that these country groupings systematically differ in national wealth. The respective rankings of GDP/capita </w:t>
      </w:r>
      <w:r>
        <w:fldChar w:fldCharType="begin"/>
      </w:r>
      <w:r>
        <w:instrText xml:space="preserve"> ADDIN EN.CITE &lt;EndNote&gt;&lt;Cite&gt;&lt;Author&gt;Central Intelligence Agency&lt;/Author&gt;&lt;Year&gt;2019&lt;/Year&gt;&lt;RecNum&gt;3695&lt;/RecNum&gt;&lt;DisplayText&gt;(Central Intelligence Agency, 2019)&lt;/DisplayText&gt;&lt;record&gt;&lt;rec-number&gt;3695&lt;/rec-number&gt;&lt;foreign-keys&gt;&lt;key app="EN" db-id="z2xarpe9cfrvp4ezdxk5ddx9dsrzr05f22sa" timestamp="1537262292"&gt;3695&lt;/key&gt;&lt;/foreign-keys&gt;&lt;ref-type name="Electronic Book"&gt;44&lt;/ref-type&gt;&lt;contributors&gt;&lt;authors&gt;&lt;author&gt;Central Intelligence Agency,&lt;/author&gt;&lt;/authors&gt;&lt;/contributors&gt;&lt;titles&gt;&lt;title&gt;World Fact Book: Distribution of Faminly Income-Gini Index&lt;/title&gt;&lt;/titles&gt;&lt;dates&gt;&lt;year&gt;2019&lt;/year&gt;&lt;pub-dates&gt;&lt;date&gt;13April2018&lt;/date&gt;&lt;/pub-dates&gt;&lt;/dates&gt;&lt;pub-location&gt;Washington&lt;/pub-location&gt;&lt;publisher&gt;Author https://www.cia.gov/library/publications/resources/the-world-factbook/fields/2172.html#51&lt;/publisher&gt;&lt;urls&gt;&lt;/urls&gt;&lt;electronic-resource-num&gt;https://www.cia.gov/library/publications/resources/the-world-factbook/fields/2172.html#51&lt;/electronic-resource-num&gt;&lt;/record&gt;&lt;/Cite&gt;&lt;/EndNote&gt;</w:instrText>
      </w:r>
      <w:r>
        <w:fldChar w:fldCharType="separate"/>
      </w:r>
      <w:r>
        <w:rPr>
          <w:noProof/>
        </w:rPr>
        <w:t>(Central Intelligence Agency, 2019)</w:t>
      </w:r>
      <w:r>
        <w:fldChar w:fldCharType="end"/>
      </w:r>
      <w:r>
        <w:t xml:space="preserve"> of these same country groupings is (40</w:t>
      </w:r>
      <w:r w:rsidRPr="00791B84">
        <w:rPr>
          <w:vertAlign w:val="superscript"/>
        </w:rPr>
        <w:t>th</w:t>
      </w:r>
      <w:r>
        <w:t>,34</w:t>
      </w:r>
      <w:r w:rsidRPr="00791B84">
        <w:rPr>
          <w:vertAlign w:val="superscript"/>
        </w:rPr>
        <w:t>th</w:t>
      </w:r>
      <w:r>
        <w:t>, 29</w:t>
      </w:r>
      <w:r w:rsidRPr="00791B84">
        <w:rPr>
          <w:vertAlign w:val="superscript"/>
        </w:rPr>
        <w:t>th</w:t>
      </w:r>
      <w:r>
        <w:t>,39</w:t>
      </w:r>
      <w:r w:rsidRPr="00791B84">
        <w:rPr>
          <w:vertAlign w:val="superscript"/>
        </w:rPr>
        <w:t>th</w:t>
      </w:r>
      <w:r>
        <w:t>) and (127</w:t>
      </w:r>
      <w:r w:rsidRPr="00791B84">
        <w:rPr>
          <w:vertAlign w:val="superscript"/>
        </w:rPr>
        <w:t>th</w:t>
      </w:r>
      <w:r>
        <w:t>,77</w:t>
      </w:r>
      <w:r w:rsidRPr="00791B84">
        <w:rPr>
          <w:vertAlign w:val="superscript"/>
        </w:rPr>
        <w:t>th</w:t>
      </w:r>
      <w:r>
        <w:t>,71</w:t>
      </w:r>
      <w:r w:rsidRPr="00791B84">
        <w:rPr>
          <w:vertAlign w:val="superscript"/>
        </w:rPr>
        <w:t>st</w:t>
      </w:r>
      <w:r>
        <w:t>, 156</w:t>
      </w:r>
      <w:r w:rsidRPr="00791B84">
        <w:rPr>
          <w:vertAlign w:val="superscript"/>
        </w:rPr>
        <w:t>th</w:t>
      </w:r>
      <w:r>
        <w:t>). These combined results make sense. Within poor countries, aspirations are dominated by visions of economic success, and happiness is seen as an outcome of such success.</w:t>
      </w:r>
      <w:r w:rsidRPr="00755F9D">
        <w:t xml:space="preserve"> </w:t>
      </w:r>
      <w:r>
        <w:t xml:space="preserve">Happiness is the province of the rich and powerful. For poor and powerless families, happiness is subjugated by concerns with daily survival. As </w:t>
      </w:r>
      <w:r>
        <w:fldChar w:fldCharType="begin"/>
      </w:r>
      <w:r>
        <w:instrText xml:space="preserve"> ADDIN EN.CITE &lt;EndNote&gt;&lt;Cite AuthorYear="1"&gt;&lt;Author&gt;Stearns&lt;/Author&gt;&lt;Year&gt;2019&lt;/Year&gt;&lt;RecNum&gt;3928&lt;/RecNum&gt;&lt;DisplayText&gt;Stearns (2019)&lt;/DisplayText&gt;&lt;record&gt;&lt;rec-number&gt;3928&lt;/rec-number&gt;&lt;foreign-keys&gt;&lt;key app="EN" db-id="z2xarpe9cfrvp4ezdxk5ddx9dsrzr05f22sa" timestamp="1568166331"&gt;3928&lt;/key&gt;&lt;/foreign-keys&gt;&lt;ref-type name="Journal Article"&gt;17&lt;/ref-type&gt;&lt;contributors&gt;&lt;authors&gt;&lt;author&gt;Stearns, P. N.&lt;/author&gt;&lt;/authors&gt;&lt;/contributors&gt;&lt;titles&gt;&lt;title&gt;Happy Children: A Modern Emotional Commitment&lt;/title&gt;&lt;secondary-title&gt;Frontiers in Psychology&lt;/secondary-title&gt;&lt;/titles&gt;&lt;periodical&gt;&lt;full-title&gt;Frontiers in psychology&lt;/full-title&gt;&lt;/periodical&gt;&lt;volume&gt;06 September 2019 https://doi.org/10.3389/fpsyg.2019.02025&lt;/volume&gt;&lt;dates&gt;&lt;year&gt;2019&lt;/year&gt;&lt;/dates&gt;&lt;urls&gt;&lt;/urls&gt;&lt;/record&gt;&lt;/Cite&gt;&lt;/EndNote&gt;</w:instrText>
      </w:r>
      <w:r>
        <w:fldChar w:fldCharType="separate"/>
      </w:r>
      <w:r>
        <w:rPr>
          <w:noProof/>
        </w:rPr>
        <w:t>Stearns (2019)</w:t>
      </w:r>
      <w:r>
        <w:fldChar w:fldCharType="end"/>
      </w:r>
      <w:r>
        <w:t xml:space="preserve"> states in relation to colonial America, “childhood after infancy was primarily associated with work, under the sometimes rough direction of adults” (p.2).</w:t>
      </w:r>
      <w:r w:rsidRPr="00755F9D">
        <w:t xml:space="preserve"> </w:t>
      </w:r>
      <w:r>
        <w:t xml:space="preserve">Under such conditions, child obedience was the priority virtue </w:t>
      </w:r>
      <w:r>
        <w:fldChar w:fldCharType="begin"/>
      </w:r>
      <w:r>
        <w:instrText xml:space="preserve"> ADDIN EN.CITE &lt;EndNote&gt;&lt;Cite&gt;&lt;Author&gt;Stearns&lt;/Author&gt;&lt;Year&gt;2014&lt;/Year&gt;&lt;RecNum&gt;3934&lt;/RecNum&gt;&lt;Prefix&gt;for a review see &lt;/Prefix&gt;&lt;DisplayText&gt;(for a review see Stearns, 2014)&lt;/DisplayText&gt;&lt;record&gt;&lt;rec-number&gt;3934&lt;/rec-number&gt;&lt;foreign-keys&gt;&lt;key app="EN" db-id="z2xarpe9cfrvp4ezdxk5ddx9dsrzr05f22sa" timestamp="1568541295"&gt;3934&lt;/key&gt;&lt;/foreign-keys&gt;&lt;ref-type name="Journal Article"&gt;17&lt;/ref-type&gt;&lt;contributors&gt;&lt;authors&gt;&lt;author&gt;Stearns, P. N.&lt;/author&gt;&lt;/authors&gt;&lt;/contributors&gt;&lt;titles&gt;&lt;title&gt;Obedience and emotion: A challenge in the emotional history of childhood&lt;/title&gt;&lt;secondary-title&gt;Journal of Social History&lt;/secondary-title&gt;&lt;/titles&gt;&lt;periodical&gt;&lt;full-title&gt;Journal of Social History&lt;/full-title&gt;&lt;/periodical&gt;&lt;pages&gt;593-611&lt;/pages&gt;&lt;volume&gt;47&lt;/volume&gt;&lt;number&gt;3&lt;/number&gt;&lt;dates&gt;&lt;year&gt;2014&lt;/year&gt;&lt;/dates&gt;&lt;isbn&gt;1527-1897&lt;/isbn&gt;&lt;urls&gt;&lt;/urls&gt;&lt;/record&gt;&lt;/Cite&gt;&lt;/EndNote&gt;</w:instrText>
      </w:r>
      <w:r>
        <w:fldChar w:fldCharType="separate"/>
      </w:r>
      <w:r>
        <w:rPr>
          <w:noProof/>
        </w:rPr>
        <w:t>(for a review see Stearns, 2014)</w:t>
      </w:r>
      <w:r>
        <w:fldChar w:fldCharType="end"/>
      </w:r>
      <w:r>
        <w:t>, child happiness was hardly considered</w:t>
      </w:r>
      <w:r w:rsidR="002F74D7">
        <w:t xml:space="preserve"> relevant</w:t>
      </w:r>
      <w:r>
        <w:t>, and child boredom</w:t>
      </w:r>
      <w:r w:rsidR="002F74D7">
        <w:t xml:space="preserve"> was</w:t>
      </w:r>
      <w:r>
        <w:t xml:space="preserve"> non-existent; like their parents</w:t>
      </w:r>
      <w:r w:rsidR="00AB777F">
        <w:t>,</w:t>
      </w:r>
      <w:r>
        <w:t xml:space="preserve"> </w:t>
      </w:r>
      <w:r w:rsidR="00AB777F">
        <w:t>children</w:t>
      </w:r>
      <w:r>
        <w:t xml:space="preserve"> were either working or sleeping.</w:t>
      </w:r>
    </w:p>
    <w:p w:rsidR="00F33B8D" w:rsidRDefault="00F33B8D" w:rsidP="00F33B8D"/>
    <w:p w:rsidR="00F33B8D" w:rsidRDefault="00F33B8D" w:rsidP="00F33B8D">
      <w:r>
        <w:t>However, as nations develop economically, and people move above the poverty line to gain financial security, their aspirations change. Instead of being concerned with simple survival, aspirations can now turn to aspects of life quality. One such aspiration is the promotion of happiness. So as wealth begins to spread within economically developing societies, concerns for happiness increase</w:t>
      </w:r>
      <w:r w:rsidR="00AB777F">
        <w:t>s</w:t>
      </w:r>
      <w:r>
        <w:t>, the value of obedience decreases, and both adults and their children have spare time on their hands.</w:t>
      </w:r>
    </w:p>
    <w:p w:rsidR="00F33B8D" w:rsidRDefault="00F33B8D" w:rsidP="00F33B8D">
      <w:pPr>
        <w:rPr>
          <w:b/>
        </w:rPr>
      </w:pPr>
    </w:p>
    <w:p w:rsidR="00F33B8D" w:rsidRPr="008E373F" w:rsidRDefault="00F33B8D" w:rsidP="00F33B8D">
      <w:r w:rsidRPr="008E373F">
        <w:rPr>
          <w:b/>
        </w:rPr>
        <w:t xml:space="preserve">Reference: </w:t>
      </w:r>
      <w:r w:rsidRPr="008E373F">
        <w:t>Stearns, P. N. (2019). Happy Children: A Modern Emotional Commitment. Frontiers in psychology, 06 Septembe</w:t>
      </w:r>
      <w:r>
        <w:t>r 2019 https://doi.org/10.3389/</w:t>
      </w:r>
      <w:r w:rsidRPr="008E373F">
        <w:t>fpsyg.2019.02025.</w:t>
      </w:r>
    </w:p>
    <w:p w:rsidR="00F33B8D" w:rsidRDefault="00F33B8D" w:rsidP="00F33B8D">
      <w:pPr>
        <w:rPr>
          <w:b/>
        </w:rPr>
      </w:pPr>
    </w:p>
    <w:p w:rsidR="00F33B8D" w:rsidRPr="008E373F" w:rsidRDefault="00F33B8D" w:rsidP="00F33B8D">
      <w:r w:rsidRPr="008E373F">
        <w:rPr>
          <w:b/>
        </w:rPr>
        <w:t>Author summary:</w:t>
      </w:r>
      <w:r w:rsidRPr="008E373F">
        <w:t xml:space="preserve"> </w:t>
      </w:r>
      <w:r>
        <w:t>American parents greatly value children’s happiness, citing it well above other possible priorities. This commitment to happiness, shared with parents in other Western societies but not elsewhere, is an important feature of popular emotional culture. But the commitment is also the product of modern history, emerging clearly only in the 19</w:t>
      </w:r>
      <w:r w:rsidRPr="008E373F">
        <w:rPr>
          <w:vertAlign w:val="superscript"/>
        </w:rPr>
        <w:t>th</w:t>
      </w:r>
      <w:r>
        <w:t xml:space="preserve"> century. This article explains the contrast between more traditional and modern views, and explains the origins but also the evolution of the idea of a happy childhood. Early outcomes, for example, included the novel practice of hosting parties for children’s birthdays, another mid-19th-century innovation that has expanded over time. Explaining the intensification of the happiness commitment also reveals some of the downsides of this aspect of popular emotional culture, for example in measurably complicating reactions to childish unhappiness. The basic goal of the essay is to use this important facet of modern emotional history to evaluate a commitment that many modern parents assume is simply natural.</w:t>
      </w:r>
    </w:p>
    <w:p w:rsidR="00F33B8D" w:rsidRDefault="00F33B8D" w:rsidP="00F33B8D">
      <w:pPr>
        <w:rPr>
          <w:b/>
        </w:rPr>
      </w:pPr>
    </w:p>
    <w:p w:rsidR="00F33B8D" w:rsidRDefault="00F33B8D" w:rsidP="00F33B8D">
      <w:pPr>
        <w:rPr>
          <w:lang w:val="en-US"/>
        </w:rPr>
      </w:pPr>
      <w:r w:rsidRPr="008E373F">
        <w:rPr>
          <w:b/>
        </w:rPr>
        <w:t xml:space="preserve">Comment on </w:t>
      </w:r>
      <w:r>
        <w:rPr>
          <w:b/>
          <w:lang w:val="en-US"/>
        </w:rPr>
        <w:t xml:space="preserve">Stearns </w:t>
      </w:r>
      <w:r w:rsidRPr="008E373F">
        <w:rPr>
          <w:b/>
          <w:lang w:val="en-US"/>
        </w:rPr>
        <w:t>(20</w:t>
      </w:r>
      <w:r>
        <w:rPr>
          <w:b/>
          <w:lang w:val="en-US"/>
        </w:rPr>
        <w:t>19</w:t>
      </w:r>
      <w:r w:rsidRPr="008E373F">
        <w:rPr>
          <w:b/>
          <w:lang w:val="en-US"/>
        </w:rPr>
        <w:t>)</w:t>
      </w:r>
    </w:p>
    <w:p w:rsidR="00F33B8D" w:rsidRDefault="00F33B8D" w:rsidP="00F33B8D">
      <w:pPr>
        <w:rPr>
          <w:lang w:val="en-US"/>
        </w:rPr>
      </w:pPr>
      <w:r>
        <w:rPr>
          <w:lang w:val="en-US"/>
        </w:rPr>
        <w:t>This paper is an informative and interesting account of evolving societal concern with children’s happiness. While particularly directed to American society, the story likely applies to most societies, as they transition from poverty to middle-class.  However, it does rather fall-down in treating this evolving pattern of</w:t>
      </w:r>
      <w:r w:rsidRPr="00C0323F">
        <w:rPr>
          <w:lang w:val="en-US"/>
        </w:rPr>
        <w:t xml:space="preserve"> </w:t>
      </w:r>
      <w:r>
        <w:rPr>
          <w:lang w:val="en-US"/>
        </w:rPr>
        <w:t xml:space="preserve">children’s happiness in isolation from adult happiness. This is a pity because adults set the developmental context. As adults develop the </w:t>
      </w:r>
      <w:r>
        <w:rPr>
          <w:lang w:val="en-US"/>
        </w:rPr>
        <w:lastRenderedPageBreak/>
        <w:t xml:space="preserve">resources allowing concern with their own happiness, the happiness of their children becomes </w:t>
      </w:r>
      <w:r w:rsidR="002F74D7">
        <w:rPr>
          <w:lang w:val="en-US"/>
        </w:rPr>
        <w:t>relevant</w:t>
      </w:r>
      <w:r>
        <w:rPr>
          <w:lang w:val="en-US"/>
        </w:rPr>
        <w:t>. Grumpy kids a happy household do not make. So, understanding child happiness becomes a priority.</w:t>
      </w:r>
    </w:p>
    <w:p w:rsidR="00F33B8D" w:rsidRDefault="00F33B8D" w:rsidP="00F33B8D">
      <w:pPr>
        <w:rPr>
          <w:lang w:val="en-US"/>
        </w:rPr>
      </w:pPr>
    </w:p>
    <w:p w:rsidR="00F33B8D" w:rsidRDefault="00F33B8D" w:rsidP="00F33B8D">
      <w:pPr>
        <w:rPr>
          <w:lang w:val="en-US"/>
        </w:rPr>
      </w:pPr>
      <w:r>
        <w:rPr>
          <w:lang w:val="en-US"/>
        </w:rPr>
        <w:t xml:space="preserve">The </w:t>
      </w:r>
      <w:r w:rsidR="00AB777F">
        <w:rPr>
          <w:lang w:val="en-US"/>
        </w:rPr>
        <w:t>emergence of this realization</w:t>
      </w:r>
      <w:r>
        <w:rPr>
          <w:lang w:val="en-US"/>
        </w:rPr>
        <w:t xml:space="preserve"> is evidenced by voluminous literature</w:t>
      </w:r>
      <w:r w:rsidR="002F74D7">
        <w:rPr>
          <w:lang w:val="en-US"/>
        </w:rPr>
        <w:t xml:space="preserve"> on child happiness</w:t>
      </w:r>
      <w:r>
        <w:rPr>
          <w:lang w:val="en-US"/>
        </w:rPr>
        <w:t xml:space="preserve"> in the late 19</w:t>
      </w:r>
      <w:r w:rsidRPr="00B04331">
        <w:rPr>
          <w:vertAlign w:val="superscript"/>
          <w:lang w:val="en-US"/>
        </w:rPr>
        <w:t>th</w:t>
      </w:r>
      <w:r w:rsidR="00AB777F">
        <w:rPr>
          <w:lang w:val="en-US"/>
        </w:rPr>
        <w:t xml:space="preserve"> century. However, t</w:t>
      </w:r>
      <w:r>
        <w:rPr>
          <w:lang w:val="en-US"/>
        </w:rPr>
        <w:t xml:space="preserve">he evidence </w:t>
      </w:r>
      <w:r w:rsidR="00AB777F">
        <w:rPr>
          <w:lang w:val="en-US"/>
        </w:rPr>
        <w:t>is</w:t>
      </w:r>
      <w:r>
        <w:rPr>
          <w:lang w:val="en-US"/>
        </w:rPr>
        <w:t xml:space="preserve"> fragmented and </w:t>
      </w:r>
      <w:r>
        <w:rPr>
          <w:lang w:val="en-US"/>
        </w:rPr>
        <w:fldChar w:fldCharType="begin"/>
      </w:r>
      <w:r>
        <w:rPr>
          <w:lang w:val="en-US"/>
        </w:rPr>
        <w:instrText xml:space="preserve"> ADDIN EN.CITE &lt;EndNote&gt;&lt;Cite AuthorYear="1"&gt;&lt;Author&gt;Stearns&lt;/Author&gt;&lt;Year&gt;2019&lt;/Year&gt;&lt;RecNum&gt;3928&lt;/RecNum&gt;&lt;DisplayText&gt;Stearns (2019)&lt;/DisplayText&gt;&lt;record&gt;&lt;rec-number&gt;3928&lt;/rec-number&gt;&lt;foreign-keys&gt;&lt;key app="EN" db-id="z2xarpe9cfrvp4ezdxk5ddx9dsrzr05f22sa" timestamp="1568166331"&gt;3928&lt;/key&gt;&lt;/foreign-keys&gt;&lt;ref-type name="Journal Article"&gt;17&lt;/ref-type&gt;&lt;contributors&gt;&lt;authors&gt;&lt;author&gt;Stearns, P. N.&lt;/author&gt;&lt;/authors&gt;&lt;/contributors&gt;&lt;titles&gt;&lt;title&gt;Happy Children: A Modern Emotional Commitment&lt;/title&gt;&lt;secondary-title&gt;Frontiers in Psychology&lt;/secondary-title&gt;&lt;/titles&gt;&lt;periodical&gt;&lt;full-title&gt;Frontiers in psychology&lt;/full-title&gt;&lt;/periodical&gt;&lt;volume&gt;06 September 2019 https://doi.org/10.3389/fpsyg.2019.02025&lt;/volume&gt;&lt;dates&gt;&lt;year&gt;2019&lt;/year&gt;&lt;/dates&gt;&lt;urls&gt;&lt;/urls&gt;&lt;/record&gt;&lt;/Cite&gt;&lt;/EndNote&gt;</w:instrText>
      </w:r>
      <w:r>
        <w:rPr>
          <w:lang w:val="en-US"/>
        </w:rPr>
        <w:fldChar w:fldCharType="separate"/>
      </w:r>
      <w:r>
        <w:rPr>
          <w:noProof/>
          <w:lang w:val="en-US"/>
        </w:rPr>
        <w:t>Stearns (2019)</w:t>
      </w:r>
      <w:r>
        <w:rPr>
          <w:lang w:val="en-US"/>
        </w:rPr>
        <w:fldChar w:fldCharType="end"/>
      </w:r>
      <w:r>
        <w:rPr>
          <w:lang w:val="en-US"/>
        </w:rPr>
        <w:t xml:space="preserve"> struggles to describe the scene. He describes the idea of ‘natural childhood happiness’ as being ‘deeply ingrained’ </w:t>
      </w:r>
      <w:r>
        <w:rPr>
          <w:lang w:val="en-US"/>
        </w:rPr>
        <w:fldChar w:fldCharType="begin"/>
      </w:r>
      <w:r>
        <w:rPr>
          <w:lang w:val="en-US"/>
        </w:rPr>
        <w:instrText xml:space="preserve"> ADDIN EN.CITE &lt;EndNote&gt;&lt;Cite&gt;&lt;Author&gt;Berman&lt;/Author&gt;&lt;Year&gt;2016&lt;/Year&gt;&lt;RecNum&gt;3935&lt;/RecNum&gt;&lt;Prefix&gt;citing &lt;/Prefix&gt;&lt;DisplayText&gt;(citing Berman, 2016)&lt;/DisplayText&gt;&lt;record&gt;&lt;rec-number&gt;3935&lt;/rec-number&gt;&lt;foreign-keys&gt;&lt;key app="EN" db-id="z2xarpe9cfrvp4ezdxk5ddx9dsrzr05f22sa" timestamp="1568615369"&gt;3935&lt;/key&gt;&lt;/foreign-keys&gt;&lt;ref-type name="Book"&gt;6&lt;/ref-type&gt;&lt;contributors&gt;&lt;authors&gt;&lt;author&gt;Berman, R.&lt;/author&gt;&lt;/authors&gt;&lt;/contributors&gt;&lt;titles&gt;&lt;title&gt;Unhappiness: The Key to Raising Happy Kids&lt;/title&gt;&lt;/titles&gt;&lt;dates&gt;&lt;year&gt;2016&lt;/year&gt;&lt;/dates&gt;&lt;pub-location&gt;Santa Monica, CA&lt;/pub-location&gt;&lt;publisher&gt;Goop&lt;/publisher&gt;&lt;urls&gt;&lt;/urls&gt;&lt;/record&gt;&lt;/Cite&gt;&lt;/EndNote&gt;</w:instrText>
      </w:r>
      <w:r>
        <w:rPr>
          <w:lang w:val="en-US"/>
        </w:rPr>
        <w:fldChar w:fldCharType="separate"/>
      </w:r>
      <w:r>
        <w:rPr>
          <w:noProof/>
          <w:lang w:val="en-US"/>
        </w:rPr>
        <w:t>(citing Berman, 2016)</w:t>
      </w:r>
      <w:r>
        <w:rPr>
          <w:lang w:val="en-US"/>
        </w:rPr>
        <w:fldChar w:fldCharType="end"/>
      </w:r>
      <w:r>
        <w:rPr>
          <w:lang w:val="en-US"/>
        </w:rPr>
        <w:t>, but also that it “</w:t>
      </w:r>
      <w:r w:rsidRPr="0055482E">
        <w:rPr>
          <w:lang w:val="en-US"/>
        </w:rPr>
        <w:t>is not automatic or in any sense n</w:t>
      </w:r>
      <w:r>
        <w:rPr>
          <w:lang w:val="en-US"/>
        </w:rPr>
        <w:t xml:space="preserve">atural, but the product of more </w:t>
      </w:r>
      <w:r w:rsidRPr="0055482E">
        <w:rPr>
          <w:lang w:val="en-US"/>
        </w:rPr>
        <w:t>particular circumstance</w:t>
      </w:r>
      <w:r>
        <w:rPr>
          <w:lang w:val="en-US"/>
        </w:rPr>
        <w:t>” (p.2)</w:t>
      </w:r>
      <w:r w:rsidRPr="0055482E">
        <w:rPr>
          <w:lang w:val="en-US"/>
        </w:rPr>
        <w:t>.</w:t>
      </w:r>
      <w:r>
        <w:rPr>
          <w:lang w:val="en-US"/>
        </w:rPr>
        <w:t xml:space="preserve"> A contemporary understanding of SWB homeostasis eases this apparent confusion. While Homeostatically Protected Mood  reflects the genetic propensity to experience ‘happiness’ at the level of each </w:t>
      </w:r>
      <w:proofErr w:type="spellStart"/>
      <w:r>
        <w:rPr>
          <w:lang w:val="en-US"/>
        </w:rPr>
        <w:t>setpoint</w:t>
      </w:r>
      <w:proofErr w:type="spellEnd"/>
      <w:r>
        <w:rPr>
          <w:lang w:val="en-US"/>
        </w:rPr>
        <w:t xml:space="preserve"> (in the range of 70-90 percentage points) </w:t>
      </w:r>
      <w:r>
        <w:rPr>
          <w:lang w:val="en-US"/>
        </w:rPr>
        <w:fldChar w:fldCharType="begin"/>
      </w:r>
      <w:r w:rsidR="00EC435A">
        <w:rPr>
          <w:lang w:val="en-US"/>
        </w:rPr>
        <w:instrText xml:space="preserve"> ADDIN EN.CITE &lt;EndNote&gt;&lt;Cite&gt;&lt;Author&gt;Capic&lt;/Author&gt;&lt;Year&gt;2018&lt;/Year&gt;&lt;RecNum&gt;3195&lt;/RecNum&gt;&lt;DisplayText&gt;(Capic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Pr>
          <w:lang w:val="en-US"/>
        </w:rPr>
        <w:fldChar w:fldCharType="separate"/>
      </w:r>
      <w:r w:rsidR="00EC435A">
        <w:rPr>
          <w:noProof/>
          <w:lang w:val="en-US"/>
        </w:rPr>
        <w:t>(Capic et al., 2018)</w:t>
      </w:r>
      <w:r>
        <w:rPr>
          <w:lang w:val="en-US"/>
        </w:rPr>
        <w:fldChar w:fldCharType="end"/>
      </w:r>
      <w:r>
        <w:rPr>
          <w:lang w:val="en-US"/>
        </w:rPr>
        <w:t xml:space="preserve">, the actual experience of happiness at that level depends on the retention of homeostatic control </w:t>
      </w:r>
      <w:r>
        <w:rPr>
          <w:lang w:val="en-US"/>
        </w:rPr>
        <w:fldChar w:fldCharType="begin"/>
      </w:r>
      <w:r>
        <w:rPr>
          <w:lang w:val="en-US"/>
        </w:rPr>
        <w:instrText xml:space="preserve"> ADDIN EN.CITE &lt;EndNote&gt;&lt;Cite&gt;&lt;Author&gt;Cummins&lt;/Author&gt;&lt;Year&gt;2017a&lt;/Year&gt;&lt;RecNum&gt;2946&lt;/RecNum&gt;&lt;DisplayText&gt;(Cummins, 2017a)&lt;/DisplayText&gt;&lt;record&gt;&lt;rec-number&gt;2946&lt;/rec-number&gt;&lt;foreign-keys&gt;&lt;key app="EN" db-id="z2xarpe9cfrvp4ezdxk5ddx9dsrzr05f22sa" timestamp="1491111749"&gt;2946&lt;/key&gt;&lt;/foreign-keys&gt;&lt;ref-type name="Electronic Book"&gt;44&lt;/ref-type&gt;&lt;contributors&gt;&lt;authors&gt;&lt;author&gt;Cummins, R. A.&lt;/author&gt;&lt;/authors&gt;&lt;secondary-authors&gt;&lt;author&gt;Dunn, D. S.&lt;/author&gt;&lt;/secondary-authors&gt;&lt;/contributors&gt;&lt;titles&gt;&lt;title&gt;Subjective Wellbeing Homeostasis - Second edition&lt;/title&gt;&lt;secondary-title&gt;Oxford Bibliographies Online&lt;/secondary-title&gt;&lt;/titles&gt;&lt;dates&gt;&lt;year&gt;2017a&lt;/year&gt;&lt;pub-dates&gt;&lt;date&gt;10 April 2018&lt;/date&gt;&lt;/pub-dates&gt;&lt;/dates&gt;&lt;pub-location&gt;New York &lt;/pub-location&gt;&lt;publisher&gt;Oxford University Press&lt;/publisher&gt;&lt;urls&gt;&lt;related-urls&gt;&lt;url&gt;http://www.oxfordbibliographies.com/view/document/obo-9780199828340/obo-9780199828340-0167.xml&lt;/url&gt;&lt;/related-urls&gt;&lt;/urls&gt;&lt;/record&gt;&lt;/Cite&gt;&lt;/EndNote&gt;</w:instrText>
      </w:r>
      <w:r>
        <w:rPr>
          <w:lang w:val="en-US"/>
        </w:rPr>
        <w:fldChar w:fldCharType="separate"/>
      </w:r>
      <w:r>
        <w:rPr>
          <w:noProof/>
          <w:lang w:val="en-US"/>
        </w:rPr>
        <w:t>(Cummins, 2017a)</w:t>
      </w:r>
      <w:r>
        <w:rPr>
          <w:lang w:val="en-US"/>
        </w:rPr>
        <w:fldChar w:fldCharType="end"/>
      </w:r>
      <w:r>
        <w:rPr>
          <w:lang w:val="en-US"/>
        </w:rPr>
        <w:t xml:space="preserve">. </w:t>
      </w:r>
      <w:r w:rsidR="00AB777F">
        <w:rPr>
          <w:lang w:val="en-US"/>
        </w:rPr>
        <w:t>The</w:t>
      </w:r>
      <w:r>
        <w:rPr>
          <w:lang w:val="en-US"/>
        </w:rPr>
        <w:t xml:space="preserve"> expression of happiness</w:t>
      </w:r>
      <w:r w:rsidR="00AB777F">
        <w:rPr>
          <w:lang w:val="en-US"/>
        </w:rPr>
        <w:t>,</w:t>
      </w:r>
      <w:r>
        <w:rPr>
          <w:lang w:val="en-US"/>
        </w:rPr>
        <w:t xml:space="preserve"> </w:t>
      </w:r>
      <w:r w:rsidR="00AB777F">
        <w:rPr>
          <w:lang w:val="en-US"/>
        </w:rPr>
        <w:t xml:space="preserve">on the other hand, </w:t>
      </w:r>
      <w:r>
        <w:rPr>
          <w:lang w:val="en-US"/>
        </w:rPr>
        <w:t>as overt behavior</w:t>
      </w:r>
      <w:r w:rsidR="00AB777F">
        <w:rPr>
          <w:lang w:val="en-US"/>
        </w:rPr>
        <w:t>, is under a quite different kind of control,</w:t>
      </w:r>
      <w:r>
        <w:rPr>
          <w:lang w:val="en-US"/>
        </w:rPr>
        <w:t xml:space="preserve"> </w:t>
      </w:r>
      <w:r w:rsidR="00AB777F">
        <w:rPr>
          <w:lang w:val="en-US"/>
        </w:rPr>
        <w:t>being dependent on</w:t>
      </w:r>
      <w:r>
        <w:rPr>
          <w:lang w:val="en-US"/>
        </w:rPr>
        <w:t xml:space="preserve"> culture </w:t>
      </w:r>
      <w:r>
        <w:rPr>
          <w:lang w:val="en-US"/>
        </w:rPr>
        <w:fldChar w:fldCharType="begin"/>
      </w:r>
      <w:r>
        <w:rPr>
          <w:lang w:val="en-US"/>
        </w:rPr>
        <w:instrText xml:space="preserve"> ADDIN EN.CITE &lt;EndNote&gt;&lt;Cite&gt;&lt;Author&gt;Cummins&lt;/Author&gt;&lt;Year&gt;2019c&lt;/Year&gt;&lt;RecNum&gt;3909&lt;/RecNum&gt;&lt;DisplayText&gt;(Cummins, 2019c)&lt;/DisplayText&gt;&lt;record&gt;&lt;rec-number&gt;3909&lt;/rec-number&gt;&lt;foreign-keys&gt;&lt;key app="EN" db-id="z2xarpe9cfrvp4ezdxk5ddx9dsrzr05f22sa" timestamp="1566322245"&gt;3909&lt;/key&gt;&lt;/foreign-keys&gt;&lt;ref-type name="Book Section"&gt;5&lt;/ref-type&gt;&lt;contributors&gt;&lt;authors&gt;&lt;author&gt;Cummins, R. A.&lt;/author&gt;&lt;/authors&gt;&lt;secondary-authors&gt;&lt;author&gt;K. D. Keith&lt;/author&gt;&lt;/secondary-authors&gt;&lt;/contributors&gt;&lt;titles&gt;&lt;title&gt;Wellbeing across Cultures: Issues of measurement and the interpretation of data&lt;/title&gt;&lt;secondary-title&gt;Cross-Cultural Psychology: Contemporary Themes &amp;amp; Perspectives&lt;/secondary-title&gt;&lt;/titles&gt;&lt;pages&gt;516-530&lt;/pages&gt;&lt;edition&gt;Second&lt;/edition&gt;&lt;dates&gt;&lt;year&gt;2019c&lt;/year&gt;&lt;/dates&gt;&lt;pub-location&gt;New York&lt;/pub-location&gt;&lt;publisher&gt;Wiley/Blackwell&lt;/publisher&gt;&lt;urls&gt;&lt;/urls&gt;&lt;/record&gt;&lt;/Cite&gt;&lt;/EndNote&gt;</w:instrText>
      </w:r>
      <w:r>
        <w:rPr>
          <w:lang w:val="en-US"/>
        </w:rPr>
        <w:fldChar w:fldCharType="separate"/>
      </w:r>
      <w:r>
        <w:rPr>
          <w:noProof/>
          <w:lang w:val="en-US"/>
        </w:rPr>
        <w:t>(Cummins, 2019c)</w:t>
      </w:r>
      <w:r>
        <w:rPr>
          <w:lang w:val="en-US"/>
        </w:rPr>
        <w:fldChar w:fldCharType="end"/>
      </w:r>
      <w:r>
        <w:rPr>
          <w:lang w:val="en-US"/>
        </w:rPr>
        <w:t xml:space="preserve">. </w:t>
      </w:r>
    </w:p>
    <w:p w:rsidR="00F33B8D" w:rsidRDefault="00F33B8D" w:rsidP="00F33B8D">
      <w:pPr>
        <w:rPr>
          <w:lang w:val="en-US"/>
        </w:rPr>
      </w:pPr>
    </w:p>
    <w:p w:rsidR="00F33B8D" w:rsidRPr="000B7141" w:rsidRDefault="00F33B8D" w:rsidP="00F33B8D">
      <w:pPr>
        <w:rPr>
          <w:lang w:val="en-US"/>
        </w:rPr>
      </w:pPr>
      <w:r>
        <w:rPr>
          <w:lang w:val="en-US"/>
        </w:rPr>
        <w:t>With this understanding it is possible to elaborate on Stearns’ comment that “</w:t>
      </w:r>
      <w:r w:rsidRPr="000B7141">
        <w:rPr>
          <w:lang w:val="en-US"/>
        </w:rPr>
        <w:t>before about the middle of the 19th cent</w:t>
      </w:r>
      <w:r>
        <w:rPr>
          <w:lang w:val="en-US"/>
        </w:rPr>
        <w:t xml:space="preserve">ury most </w:t>
      </w:r>
      <w:r w:rsidRPr="000B7141">
        <w:rPr>
          <w:lang w:val="en-US"/>
        </w:rPr>
        <w:t>Americans (and, probably, most people in most agricultural</w:t>
      </w:r>
    </w:p>
    <w:p w:rsidR="00F33B8D" w:rsidRDefault="00F33B8D" w:rsidP="00F33B8D">
      <w:pPr>
        <w:rPr>
          <w:lang w:val="en-US"/>
        </w:rPr>
      </w:pPr>
      <w:r w:rsidRPr="000B7141">
        <w:rPr>
          <w:lang w:val="en-US"/>
        </w:rPr>
        <w:t>societies) did not equate ch</w:t>
      </w:r>
      <w:r>
        <w:rPr>
          <w:lang w:val="en-US"/>
        </w:rPr>
        <w:t xml:space="preserve">ildren and happiness and indeed </w:t>
      </w:r>
      <w:r w:rsidRPr="000B7141">
        <w:rPr>
          <w:lang w:val="en-US"/>
        </w:rPr>
        <w:t>were unlikely to see childhoo</w:t>
      </w:r>
      <w:r>
        <w:rPr>
          <w:lang w:val="en-US"/>
        </w:rPr>
        <w:t xml:space="preserve">d as a particularly happy phase </w:t>
      </w:r>
      <w:r w:rsidRPr="000B7141">
        <w:rPr>
          <w:lang w:val="en-US"/>
        </w:rPr>
        <w:t>of life</w:t>
      </w:r>
      <w:r>
        <w:rPr>
          <w:lang w:val="en-US"/>
        </w:rPr>
        <w:t>”</w:t>
      </w:r>
      <w:r w:rsidRPr="000B7141">
        <w:rPr>
          <w:lang w:val="en-US"/>
        </w:rPr>
        <w:t xml:space="preserve"> </w:t>
      </w:r>
      <w:r>
        <w:rPr>
          <w:lang w:val="en-US"/>
        </w:rPr>
        <w:t xml:space="preserve">(p.2). Homeostatic control would have been under challenge from both the difficult conditions of life and the culture of Protestantism, with its doctrine of original sin </w:t>
      </w:r>
      <w:r>
        <w:rPr>
          <w:lang w:val="en-US"/>
        </w:rPr>
        <w:fldChar w:fldCharType="begin"/>
      </w:r>
      <w:r>
        <w:rPr>
          <w:lang w:val="en-US"/>
        </w:rPr>
        <w:instrText xml:space="preserve"> ADDIN EN.CITE &lt;EndNote&gt;&lt;Cite&gt;&lt;Author&gt;Greven&lt;/Author&gt;&lt;Year&gt;1988&lt;/Year&gt;&lt;RecNum&gt;3936&lt;/RecNum&gt;&lt;DisplayText&gt;(Greven, 1988)&lt;/DisplayText&gt;&lt;record&gt;&lt;rec-number&gt;3936&lt;/rec-number&gt;&lt;foreign-keys&gt;&lt;key app="EN" db-id="z2xarpe9cfrvp4ezdxk5ddx9dsrzr05f22sa" timestamp="1568618163"&gt;3936&lt;/key&gt;&lt;/foreign-keys&gt;&lt;ref-type name="Book"&gt;6&lt;/ref-type&gt;&lt;contributors&gt;&lt;authors&gt;&lt;author&gt;Greven, P.&lt;/author&gt;&lt;/authors&gt;&lt;/contributors&gt;&lt;titles&gt;&lt;title&gt;The Protestant Temperament: Patterns of Child-Rearing, Religious Experience, and the Self in Early America&lt;/title&gt;&lt;/titles&gt;&lt;dates&gt;&lt;year&gt;1988&lt;/year&gt;&lt;/dates&gt;&lt;pub-location&gt;Chicago&lt;/pub-location&gt;&lt;publisher&gt;University of Chicago Press&lt;/publisher&gt;&lt;urls&gt;&lt;/urls&gt;&lt;/record&gt;&lt;/Cite&gt;&lt;/EndNote&gt;</w:instrText>
      </w:r>
      <w:r>
        <w:rPr>
          <w:lang w:val="en-US"/>
        </w:rPr>
        <w:fldChar w:fldCharType="separate"/>
      </w:r>
      <w:r>
        <w:rPr>
          <w:noProof/>
          <w:lang w:val="en-US"/>
        </w:rPr>
        <w:t>(Greven, 1988)</w:t>
      </w:r>
      <w:r>
        <w:rPr>
          <w:lang w:val="en-US"/>
        </w:rPr>
        <w:fldChar w:fldCharType="end"/>
      </w:r>
      <w:r>
        <w:rPr>
          <w:lang w:val="en-US"/>
        </w:rPr>
        <w:t xml:space="preserve">. Life was hard and jolliness frowned-on for both children and their parents. Stearns cites </w:t>
      </w:r>
      <w:r>
        <w:rPr>
          <w:lang w:val="en-US"/>
        </w:rPr>
        <w:fldChar w:fldCharType="begin"/>
      </w:r>
      <w:r>
        <w:rPr>
          <w:lang w:val="en-US"/>
        </w:rPr>
        <w:instrText xml:space="preserve"> ADDIN EN.CITE &lt;EndNote&gt;&lt;Cite AuthorYear="1"&gt;&lt;Author&gt;Gillis&lt;/Author&gt;&lt;Year&gt;1981&lt;/Year&gt;&lt;RecNum&gt;3937&lt;/RecNum&gt;&lt;DisplayText&gt;Gillis (1981)&lt;/DisplayText&gt;&lt;record&gt;&lt;rec-number&gt;3937&lt;/rec-number&gt;&lt;foreign-keys&gt;&lt;key app="EN" db-id="z2xarpe9cfrvp4ezdxk5ddx9dsrzr05f22sa" timestamp="1568618682"&gt;3937&lt;/key&gt;&lt;/foreign-keys&gt;&lt;ref-type name="Book"&gt;6&lt;/ref-type&gt;&lt;contributors&gt;&lt;authors&gt;&lt;author&gt;Gillis, J. R.&lt;/author&gt;&lt;/authors&gt;&lt;/contributors&gt;&lt;titles&gt;&lt;title&gt;Youth and History: Tradition and Change in European Age Relations, 1770 Present&lt;/title&gt;&lt;/titles&gt;&lt;dates&gt;&lt;year&gt;1981&lt;/year&gt;&lt;/dates&gt;&lt;pub-location&gt;New York, NY&lt;/pub-location&gt;&lt;publisher&gt;Academic Press&lt;/publisher&gt;&lt;urls&gt;&lt;/urls&gt;&lt;/record&gt;&lt;/Cite&gt;&lt;/EndNote&gt;</w:instrText>
      </w:r>
      <w:r>
        <w:rPr>
          <w:lang w:val="en-US"/>
        </w:rPr>
        <w:fldChar w:fldCharType="separate"/>
      </w:r>
      <w:r>
        <w:rPr>
          <w:noProof/>
          <w:lang w:val="en-US"/>
        </w:rPr>
        <w:t>Gillis (1981)</w:t>
      </w:r>
      <w:r>
        <w:rPr>
          <w:lang w:val="en-US"/>
        </w:rPr>
        <w:fldChar w:fldCharType="end"/>
      </w:r>
      <w:r>
        <w:rPr>
          <w:lang w:val="en-US"/>
        </w:rPr>
        <w:t xml:space="preserve"> “…</w:t>
      </w:r>
      <w:r w:rsidRPr="00DE38BE">
        <w:rPr>
          <w:lang w:val="en-US"/>
        </w:rPr>
        <w:t xml:space="preserve"> any k</w:t>
      </w:r>
      <w:r>
        <w:rPr>
          <w:lang w:val="en-US"/>
        </w:rPr>
        <w:t xml:space="preserve">ind of systematic happiness, or </w:t>
      </w:r>
      <w:r w:rsidRPr="00DE38BE">
        <w:rPr>
          <w:lang w:val="en-US"/>
        </w:rPr>
        <w:t>even a common use of the term,</w:t>
      </w:r>
      <w:r>
        <w:rPr>
          <w:lang w:val="en-US"/>
        </w:rPr>
        <w:t xml:space="preserve"> was simply not part of popular </w:t>
      </w:r>
      <w:r w:rsidRPr="00DE38BE">
        <w:rPr>
          <w:lang w:val="en-US"/>
        </w:rPr>
        <w:t>expectations</w:t>
      </w:r>
      <w:r>
        <w:rPr>
          <w:lang w:val="en-US"/>
        </w:rPr>
        <w:t>” (p.2). But as the 20</w:t>
      </w:r>
      <w:r w:rsidRPr="0089608F">
        <w:rPr>
          <w:vertAlign w:val="superscript"/>
          <w:lang w:val="en-US"/>
        </w:rPr>
        <w:t>th</w:t>
      </w:r>
      <w:r>
        <w:rPr>
          <w:lang w:val="en-US"/>
        </w:rPr>
        <w:t xml:space="preserve"> century approached, a new view of child-happiness emerged as being a desirable state.  This raised a number of potentially negative issues for parents, nicely articulated by Stearns. Two of these are obedience, has already been mentioned, and boredom.</w:t>
      </w:r>
    </w:p>
    <w:p w:rsidR="00F33B8D" w:rsidRDefault="00F33B8D" w:rsidP="00F33B8D">
      <w:pPr>
        <w:rPr>
          <w:lang w:val="en-US"/>
        </w:rPr>
      </w:pPr>
    </w:p>
    <w:p w:rsidR="00F33B8D" w:rsidRDefault="00F33B8D" w:rsidP="00F33B8D">
      <w:r>
        <w:t>The</w:t>
      </w:r>
      <w:r w:rsidRPr="001C325C">
        <w:t xml:space="preserve"> word</w:t>
      </w:r>
      <w:r>
        <w:t xml:space="preserve"> ‘boredom’ first appeared in </w:t>
      </w:r>
      <w:r w:rsidRPr="001C325C">
        <w:t>common usa</w:t>
      </w:r>
      <w:r>
        <w:t xml:space="preserve">ge only in the mid-19th century </w:t>
      </w:r>
      <w:r>
        <w:fldChar w:fldCharType="begin"/>
      </w:r>
      <w:r>
        <w:instrText xml:space="preserve"> ADDIN EN.CITE &lt;EndNote&gt;&lt;Cite&gt;&lt;Author&gt;Online Etymology Dictionary&lt;/Author&gt;&lt;Year&gt;2019&lt;/Year&gt;&lt;RecNum&gt;3939&lt;/RecNum&gt;&lt;DisplayText&gt;(Online Etymology Dictionary, 2019)&lt;/DisplayText&gt;&lt;record&gt;&lt;rec-number&gt;3939&lt;/rec-number&gt;&lt;foreign-keys&gt;&lt;key app="EN" db-id="z2xarpe9cfrvp4ezdxk5ddx9dsrzr05f22sa" timestamp="1568784311"&gt;3939&lt;/key&gt;&lt;/foreign-keys&gt;&lt;ref-type name="Book"&gt;6&lt;/ref-type&gt;&lt;contributors&gt;&lt;authors&gt;&lt;author&gt;Online Etymology Dictionary,&lt;/author&gt;&lt;/authors&gt;&lt;/contributors&gt;&lt;titles&gt;&lt;/titles&gt;&lt;dates&gt;&lt;year&gt;2019&lt;/year&gt;&lt;/dates&gt;&lt;publisher&gt;Etymonline.com. Retrieved 19 Sept 2019&lt;/publisher&gt;&lt;urls&gt;&lt;/urls&gt;&lt;/record&gt;&lt;/Cite&gt;&lt;/EndNote&gt;</w:instrText>
      </w:r>
      <w:r>
        <w:fldChar w:fldCharType="separate"/>
      </w:r>
      <w:r>
        <w:rPr>
          <w:noProof/>
        </w:rPr>
        <w:t>(Online Etymology Dictionary, 2019)</w:t>
      </w:r>
      <w:r>
        <w:fldChar w:fldCharType="end"/>
      </w:r>
      <w:r>
        <w:t xml:space="preserve"> thereby coinciding </w:t>
      </w:r>
      <w:r w:rsidRPr="001C325C">
        <w:t>with the growing interest in happiness. Initially boredom applied to childhood</w:t>
      </w:r>
      <w:r>
        <w:t xml:space="preserve"> </w:t>
      </w:r>
      <w:r w:rsidRPr="001C325C">
        <w:t>mainly as a character lesson: children should be taught not to be</w:t>
      </w:r>
      <w:r>
        <w:t xml:space="preserve"> </w:t>
      </w:r>
      <w:r w:rsidRPr="001C325C">
        <w:t>bor</w:t>
      </w:r>
      <w:r>
        <w:t>ed</w:t>
      </w:r>
      <w:r w:rsidRPr="001C325C">
        <w:t xml:space="preserve">. </w:t>
      </w:r>
      <w:r>
        <w:t>This surely was a parental defensive manoeuvre. While it is good for children to be happy, they need to learn not</w:t>
      </w:r>
      <w:r w:rsidR="002F74D7">
        <w:t xml:space="preserve"> to</w:t>
      </w:r>
      <w:r>
        <w:t xml:space="preserve"> feel bored. So, children learned how to be self-sufficient by interacting with friends, real or imaginary, hobbies, or whatever else they could devise to fill time.</w:t>
      </w:r>
    </w:p>
    <w:p w:rsidR="00F33B8D" w:rsidRDefault="00F33B8D" w:rsidP="00F33B8D"/>
    <w:p w:rsidR="00F33B8D" w:rsidRDefault="00F33B8D" w:rsidP="00F33B8D">
      <w:r w:rsidRPr="001C325C">
        <w:t xml:space="preserve">After 1950, however, </w:t>
      </w:r>
      <w:r>
        <w:t>Sterns states that “</w:t>
      </w:r>
      <w:r w:rsidRPr="001C325C">
        <w:t>the meaning was flipped: boredom</w:t>
      </w:r>
      <w:r>
        <w:t xml:space="preserve"> </w:t>
      </w:r>
      <w:r w:rsidRPr="001C325C">
        <w:t>now became a state to be blamed on others, a reason for personal</w:t>
      </w:r>
      <w:r>
        <w:t xml:space="preserve"> </w:t>
      </w:r>
      <w:r w:rsidRPr="001C325C">
        <w:t>discontent</w:t>
      </w:r>
      <w:proofErr w:type="gramStart"/>
      <w:r>
        <w:t>….</w:t>
      </w:r>
      <w:r w:rsidRPr="001C325C">
        <w:t>“</w:t>
      </w:r>
      <w:proofErr w:type="gramEnd"/>
      <w:r w:rsidRPr="001C325C">
        <w:t>I’m bored” became yet another way of telling the adult world that</w:t>
      </w:r>
      <w:r>
        <w:t xml:space="preserve"> </w:t>
      </w:r>
      <w:r w:rsidRPr="001C325C">
        <w:t>it was falling short, for the child should be entertained</w:t>
      </w:r>
      <w:r>
        <w:t xml:space="preserve">” (p.6). </w:t>
      </w:r>
      <w:proofErr w:type="gramStart"/>
      <w:r>
        <w:t>So</w:t>
      </w:r>
      <w:proofErr w:type="gramEnd"/>
      <w:r>
        <w:t xml:space="preserve"> the net outcome of economic development, in the terms discussed, can be summarised. Both adults and children have become potentially happier. Whether this potential is realized, for both, depends on children learning both ‘happy obedience’ and ‘engagement self-sufficiency’ to avoid boredom. Perhaps this understanding links to the increasing trend for couples not to have children.</w:t>
      </w:r>
    </w:p>
    <w:p w:rsidR="00F33B8D" w:rsidRDefault="00F33B8D" w:rsidP="00F33B8D">
      <w:pPr>
        <w:rPr>
          <w:b/>
        </w:rPr>
      </w:pPr>
    </w:p>
    <w:p w:rsidR="00B73A75" w:rsidRPr="000066EF" w:rsidRDefault="00F33B8D" w:rsidP="000066EF">
      <w:pPr>
        <w:rPr>
          <w:sz w:val="22"/>
          <w:szCs w:val="22"/>
        </w:rPr>
      </w:pPr>
      <w:r w:rsidRPr="000066EF">
        <w:rPr>
          <w:b/>
          <w:sz w:val="22"/>
          <w:szCs w:val="22"/>
        </w:rPr>
        <w:t>References:</w:t>
      </w:r>
      <w:r w:rsidRPr="000066EF">
        <w:rPr>
          <w:sz w:val="22"/>
          <w:szCs w:val="22"/>
        </w:rPr>
        <w:t xml:space="preserve"> </w:t>
      </w:r>
      <w:r w:rsidRPr="000066EF">
        <w:rPr>
          <w:i/>
          <w:sz w:val="22"/>
          <w:szCs w:val="22"/>
        </w:rPr>
        <w:t>see end of Bulletin</w:t>
      </w:r>
    </w:p>
    <w:p w:rsidR="00B73A75" w:rsidRPr="00BB5D46" w:rsidRDefault="00B73A75" w:rsidP="00B73A75">
      <w:pPr>
        <w:jc w:val="center"/>
        <w:rPr>
          <w:rFonts w:eastAsia="Arial" w:cs="Times New Roman"/>
          <w:i/>
        </w:rPr>
      </w:pPr>
    </w:p>
    <w:p w:rsidR="00B73A75" w:rsidRPr="00BB5D46" w:rsidRDefault="00B73A75" w:rsidP="00B73A75">
      <w:pPr>
        <w:jc w:val="center"/>
        <w:rPr>
          <w:rFonts w:eastAsia="Arial" w:cs="Times New Roman"/>
          <w:i/>
        </w:rPr>
      </w:pPr>
      <w:r w:rsidRPr="00BB5D46">
        <w:rPr>
          <w:rFonts w:eastAsia="Arial" w:cs="Times New Roman"/>
          <w:i/>
        </w:rPr>
        <w:t xml:space="preserve">Further discussion of </w:t>
      </w:r>
      <w:r w:rsidR="002F74D7">
        <w:rPr>
          <w:rFonts w:eastAsia="Arial" w:cs="Times New Roman"/>
          <w:i/>
        </w:rPr>
        <w:t>this paper</w:t>
      </w:r>
      <w:r w:rsidRPr="00BB5D46">
        <w:rPr>
          <w:rFonts w:eastAsia="Arial" w:cs="Times New Roman"/>
          <w:i/>
        </w:rPr>
        <w:t xml:space="preserve">, for circulation to members, is invited. Send to: </w:t>
      </w:r>
      <w:hyperlink r:id="rId83" w:history="1">
        <w:r w:rsidRPr="00BB5D46">
          <w:rPr>
            <w:rFonts w:eastAsia="Arial" w:cs="Times New Roman"/>
            <w:i/>
            <w:color w:val="0563C1"/>
            <w:u w:val="single"/>
          </w:rPr>
          <w:t>robert.cummins@deakin.edu.au</w:t>
        </w:r>
      </w:hyperlink>
    </w:p>
    <w:p w:rsidR="00B73A75" w:rsidRPr="00BB5D46" w:rsidRDefault="00B73A75" w:rsidP="00B73A75">
      <w:pPr>
        <w:jc w:val="center"/>
        <w:rPr>
          <w:rFonts w:eastAsia="Arial" w:cs="Times New Roman"/>
          <w:i/>
        </w:rPr>
      </w:pPr>
      <w:r w:rsidRPr="00BB5D46">
        <w:rPr>
          <w:rFonts w:eastAsia="Arial" w:cs="Times New Roman"/>
          <w:i/>
        </w:rPr>
        <w:lastRenderedPageBreak/>
        <w:t xml:space="preserve">Substantive comments received by midnight on </w:t>
      </w:r>
      <w:r w:rsidRPr="000066EF">
        <w:rPr>
          <w:rFonts w:eastAsia="Arial" w:cs="Times New Roman"/>
          <w:i/>
        </w:rPr>
        <w:t xml:space="preserve">Monday </w:t>
      </w:r>
      <w:r w:rsidR="002F74D7" w:rsidRPr="000066EF">
        <w:rPr>
          <w:rFonts w:eastAsia="Arial" w:cs="Times New Roman"/>
          <w:i/>
        </w:rPr>
        <w:t>23</w:t>
      </w:r>
      <w:r w:rsidR="002F74D7" w:rsidRPr="000066EF">
        <w:rPr>
          <w:rFonts w:eastAsia="Arial" w:cs="Times New Roman"/>
          <w:i/>
          <w:vertAlign w:val="superscript"/>
        </w:rPr>
        <w:t>rd</w:t>
      </w:r>
      <w:r w:rsidR="002F74D7" w:rsidRPr="000066EF">
        <w:rPr>
          <w:rFonts w:eastAsia="Arial" w:cs="Times New Roman"/>
          <w:i/>
        </w:rPr>
        <w:t xml:space="preserve"> </w:t>
      </w:r>
      <w:r w:rsidR="000066EF" w:rsidRPr="000066EF">
        <w:rPr>
          <w:rFonts w:eastAsia="Arial" w:cs="Times New Roman"/>
          <w:i/>
        </w:rPr>
        <w:t>September</w:t>
      </w:r>
      <w:r w:rsidRPr="000066EF">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B73A75" w:rsidRDefault="00B73A75" w:rsidP="00B73A75">
      <w:pPr>
        <w:rPr>
          <w:rFonts w:eastAsia="Arial" w:cs="Times New Roman"/>
          <w:i/>
        </w:rPr>
      </w:pPr>
    </w:p>
    <w:p w:rsidR="00B73A75" w:rsidRPr="00BB5D46" w:rsidRDefault="00B73A75" w:rsidP="00B73A75">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w:t>
      </w:r>
      <w:r>
        <w:rPr>
          <w:rFonts w:eastAsia="Arial" w:cs="Times New Roman"/>
          <w:i/>
        </w:rPr>
        <w:t>, queries or comments,</w:t>
      </w:r>
      <w:r w:rsidRPr="00BB5D46">
        <w:rPr>
          <w:rFonts w:eastAsia="Arial" w:cs="Times New Roman"/>
          <w:i/>
        </w:rPr>
        <w:t xml:space="preserve"> on the topic of life quality, for distribution and discussion by members under these same conditions.</w:t>
      </w:r>
    </w:p>
    <w:p w:rsidR="00B73A75" w:rsidRPr="00BB5D46" w:rsidRDefault="00B73A75" w:rsidP="00B73A75">
      <w:pPr>
        <w:rPr>
          <w:rFonts w:eastAsia="Arial" w:cs="Times New Roman"/>
          <w:i/>
        </w:rPr>
      </w:pPr>
    </w:p>
    <w:p w:rsidR="00B73A75" w:rsidRPr="00BB5D46" w:rsidRDefault="00B73A75" w:rsidP="00B73A75">
      <w:pPr>
        <w:jc w:val="center"/>
        <w:rPr>
          <w:rFonts w:eastAsia="Calibri" w:cs="Times New Roman"/>
          <w:i/>
          <w:szCs w:val="22"/>
        </w:rPr>
      </w:pPr>
    </w:p>
    <w:p w:rsidR="00B73A75" w:rsidRDefault="00B73A75" w:rsidP="00B73A75">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B73A75" w:rsidRDefault="00B73A75" w:rsidP="00B73A75">
      <w:pPr>
        <w:jc w:val="center"/>
        <w:rPr>
          <w:rFonts w:eastAsia="Arial" w:cs="Times New Roman"/>
          <w:i/>
          <w:sz w:val="22"/>
          <w:szCs w:val="22"/>
        </w:rPr>
      </w:pPr>
      <w:r w:rsidRPr="008C2032">
        <w:rPr>
          <w:rFonts w:eastAsia="Arial" w:cs="Times New Roman"/>
          <w:i/>
          <w:sz w:val="22"/>
          <w:szCs w:val="22"/>
        </w:rPr>
        <w:t>Tanja Capic &lt;tanja.capic@deakin.edu.au&gt;</w:t>
      </w:r>
    </w:p>
    <w:p w:rsidR="00B73A75" w:rsidRPr="008C2032" w:rsidRDefault="00B73A75" w:rsidP="00B73A75">
      <w:pPr>
        <w:jc w:val="center"/>
        <w:rPr>
          <w:rFonts w:eastAsia="Arial" w:cs="Times New Roman"/>
          <w:i/>
          <w:sz w:val="22"/>
          <w:szCs w:val="22"/>
        </w:rPr>
      </w:pPr>
      <w:proofErr w:type="spellStart"/>
      <w:r>
        <w:rPr>
          <w:rFonts w:eastAsia="Arial" w:cs="Times New Roman"/>
          <w:i/>
          <w:sz w:val="22"/>
          <w:szCs w:val="22"/>
        </w:rPr>
        <w:t>WebMaster</w:t>
      </w:r>
      <w:proofErr w:type="spellEnd"/>
    </w:p>
    <w:p w:rsidR="004314EA" w:rsidRDefault="004314EA" w:rsidP="00F43722">
      <w:pPr>
        <w:jc w:val="center"/>
        <w:rPr>
          <w:rFonts w:eastAsia="Arial" w:cs="Times New Roman"/>
          <w:i/>
          <w:sz w:val="22"/>
          <w:szCs w:val="22"/>
        </w:rPr>
      </w:pPr>
    </w:p>
    <w:p w:rsidR="00F43722" w:rsidRPr="00F33B8D" w:rsidRDefault="00F43722" w:rsidP="00F43722">
      <w:pPr>
        <w:jc w:val="center"/>
        <w:rPr>
          <w:rFonts w:eastAsia="Arial" w:cs="Times New Roman"/>
          <w:b/>
          <w:color w:val="000000"/>
          <w:lang w:val="en-US"/>
        </w:rPr>
      </w:pPr>
      <w:r w:rsidRPr="00F33B8D">
        <w:rPr>
          <w:rFonts w:eastAsia="Arial" w:cs="Times New Roman"/>
          <w:b/>
          <w:color w:val="000000"/>
          <w:lang w:val="en-US"/>
        </w:rPr>
        <w:t>New Instrument Description</w:t>
      </w:r>
    </w:p>
    <w:p w:rsidR="00F43722" w:rsidRPr="00BB5D46" w:rsidRDefault="00F43722" w:rsidP="00F43722">
      <w:pPr>
        <w:rPr>
          <w:rFonts w:eastAsia="Arial" w:cs="Times New Roman"/>
          <w:i/>
          <w:color w:val="000000"/>
        </w:rPr>
      </w:pPr>
      <w:r>
        <w:rPr>
          <w:rFonts w:eastAsia="Arial" w:cs="Times New Roman"/>
          <w:i/>
          <w:color w:val="000000"/>
        </w:rPr>
        <w:t>Our Directory of Instruments lists over 1,200 scales that measure some aspect of subjective life quality. These are</w:t>
      </w:r>
      <w:r w:rsidR="004314EA">
        <w:rPr>
          <w:rFonts w:eastAsia="Arial" w:cs="Times New Roman"/>
          <w:i/>
          <w:color w:val="000000"/>
        </w:rPr>
        <w:t xml:space="preserve"> generally</w:t>
      </w:r>
      <w:r>
        <w:rPr>
          <w:rFonts w:eastAsia="Arial" w:cs="Times New Roman"/>
          <w:i/>
          <w:color w:val="000000"/>
        </w:rPr>
        <w:t xml:space="preserve"> brief scale descriptions, designed to provide a thumb-nail overview of each scale’s design and purpose. A few key scales have an ‘Extended description’, which comprises a </w:t>
      </w:r>
      <w:r w:rsidRPr="00BB5D46">
        <w:rPr>
          <w:rFonts w:eastAsia="Arial" w:cs="Times New Roman"/>
          <w:i/>
          <w:color w:val="000000"/>
        </w:rPr>
        <w:t>formal statement of the</w:t>
      </w:r>
      <w:r>
        <w:rPr>
          <w:rFonts w:eastAsia="Arial" w:cs="Times New Roman"/>
          <w:i/>
          <w:color w:val="000000"/>
        </w:rPr>
        <w:t xml:space="preserve"> available</w:t>
      </w:r>
      <w:r w:rsidRPr="00BB5D46">
        <w:rPr>
          <w:rFonts w:eastAsia="Arial" w:cs="Times New Roman"/>
          <w:i/>
          <w:color w:val="000000"/>
        </w:rPr>
        <w:t xml:space="preserve"> psychometric information</w:t>
      </w:r>
      <w:r>
        <w:rPr>
          <w:rFonts w:eastAsia="Arial" w:cs="Times New Roman"/>
          <w:i/>
          <w:color w:val="000000"/>
        </w:rPr>
        <w:t>.</w:t>
      </w:r>
      <w:r w:rsidRPr="00BB5D46">
        <w:rPr>
          <w:rFonts w:eastAsia="Arial" w:cs="Times New Roman"/>
          <w:i/>
          <w:color w:val="000000"/>
        </w:rPr>
        <w:t xml:space="preserve"> The purpose</w:t>
      </w:r>
      <w:r>
        <w:rPr>
          <w:rFonts w:eastAsia="Arial" w:cs="Times New Roman"/>
          <w:i/>
          <w:color w:val="000000"/>
        </w:rPr>
        <w:t xml:space="preserve"> of these extended descripti</w:t>
      </w:r>
      <w:r w:rsidRPr="00321A96">
        <w:rPr>
          <w:rFonts w:eastAsia="Arial" w:cs="Times New Roman"/>
          <w:i/>
          <w:color w:val="000000"/>
        </w:rPr>
        <w:t xml:space="preserve">ons is not to evaluate scale performance, but to </w:t>
      </w:r>
      <w:r w:rsidRPr="00321A96">
        <w:rPr>
          <w:bCs/>
          <w:i/>
        </w:rPr>
        <w:t>list the available psychometric results. Evaluating these results is a task for each researcher who is considering whether to use the instrument</w:t>
      </w:r>
      <w:r>
        <w:rPr>
          <w:bCs/>
          <w:i/>
        </w:rPr>
        <w:t>.</w:t>
      </w:r>
    </w:p>
    <w:p w:rsidR="00F43722" w:rsidRPr="00BB5D46" w:rsidRDefault="00F43722" w:rsidP="00F43722">
      <w:pPr>
        <w:jc w:val="center"/>
        <w:rPr>
          <w:rFonts w:eastAsia="Arial" w:cs="Times New Roman"/>
          <w:i/>
          <w:color w:val="000000"/>
        </w:rPr>
      </w:pPr>
    </w:p>
    <w:p w:rsidR="004314EA" w:rsidRPr="004314EA" w:rsidRDefault="00F43722" w:rsidP="004314EA">
      <w:pPr>
        <w:jc w:val="center"/>
        <w:rPr>
          <w:rFonts w:eastAsia="Arial" w:cs="Times New Roman"/>
          <w:bCs/>
          <w:color w:val="000000"/>
        </w:rPr>
      </w:pPr>
      <w:r w:rsidRPr="00BB5D46">
        <w:rPr>
          <w:rFonts w:eastAsia="Arial" w:cs="Times New Roman"/>
          <w:i/>
          <w:color w:val="000000"/>
        </w:rPr>
        <w:t xml:space="preserve">The </w:t>
      </w:r>
      <w:r w:rsidR="004314EA">
        <w:rPr>
          <w:rFonts w:eastAsia="Arial" w:cs="Times New Roman"/>
          <w:i/>
          <w:color w:val="000000"/>
        </w:rPr>
        <w:t>extended</w:t>
      </w:r>
      <w:r w:rsidRPr="00BB5D46">
        <w:rPr>
          <w:rFonts w:eastAsia="Arial" w:cs="Times New Roman"/>
          <w:i/>
          <w:color w:val="000000"/>
        </w:rPr>
        <w:t xml:space="preserve"> description of the </w:t>
      </w:r>
      <w:r>
        <w:rPr>
          <w:rFonts w:eastAsia="Arial" w:cs="Times New Roman"/>
          <w:b/>
          <w:i/>
          <w:color w:val="000000"/>
        </w:rPr>
        <w:t xml:space="preserve">Satisfaction </w:t>
      </w:r>
      <w:proofErr w:type="gramStart"/>
      <w:r>
        <w:rPr>
          <w:rFonts w:eastAsia="Arial" w:cs="Times New Roman"/>
          <w:b/>
          <w:i/>
          <w:color w:val="000000"/>
        </w:rPr>
        <w:t>With</w:t>
      </w:r>
      <w:proofErr w:type="gramEnd"/>
      <w:r>
        <w:rPr>
          <w:rFonts w:eastAsia="Arial" w:cs="Times New Roman"/>
          <w:b/>
          <w:i/>
          <w:color w:val="000000"/>
        </w:rPr>
        <w:t xml:space="preserve"> Life</w:t>
      </w:r>
      <w:r w:rsidRPr="00BB5D46">
        <w:rPr>
          <w:rFonts w:eastAsia="Arial" w:cs="Times New Roman"/>
          <w:b/>
          <w:i/>
          <w:color w:val="000000"/>
        </w:rPr>
        <w:t xml:space="preserve"> Scale </w:t>
      </w:r>
      <w:r w:rsidRPr="00BB5D46">
        <w:rPr>
          <w:rFonts w:eastAsia="Arial" w:cs="Times New Roman"/>
          <w:i/>
          <w:color w:val="000000"/>
        </w:rPr>
        <w:t xml:space="preserve">has been created by Executive Volunteer Editor </w:t>
      </w:r>
      <w:r w:rsidR="004314EA" w:rsidRPr="004314EA">
        <w:rPr>
          <w:rFonts w:eastAsia="Arial" w:cs="Times New Roman"/>
          <w:bCs/>
          <w:i/>
          <w:color w:val="000000"/>
        </w:rPr>
        <w:t xml:space="preserve">Nova </w:t>
      </w:r>
      <w:proofErr w:type="spellStart"/>
      <w:r w:rsidR="004314EA" w:rsidRPr="004314EA">
        <w:rPr>
          <w:rFonts w:eastAsia="Arial" w:cs="Times New Roman"/>
          <w:bCs/>
          <w:i/>
          <w:color w:val="000000"/>
        </w:rPr>
        <w:t>Hartanty</w:t>
      </w:r>
      <w:proofErr w:type="spellEnd"/>
      <w:r w:rsidR="004314EA" w:rsidRPr="004314EA">
        <w:rPr>
          <w:rFonts w:eastAsia="Arial" w:cs="Times New Roman"/>
          <w:bCs/>
          <w:i/>
          <w:color w:val="000000"/>
        </w:rPr>
        <w:t xml:space="preserve"> </w:t>
      </w:r>
      <w:hyperlink r:id="rId84" w:history="1">
        <w:r w:rsidR="004314EA" w:rsidRPr="005D42DB">
          <w:rPr>
            <w:rStyle w:val="Hyperlink"/>
            <w:rFonts w:eastAsia="Arial" w:cs="Times New Roman"/>
            <w:bCs/>
            <w:i/>
          </w:rPr>
          <w:t>nhartant@deakin.edu.au</w:t>
        </w:r>
      </w:hyperlink>
      <w:r w:rsidR="004314EA">
        <w:rPr>
          <w:rFonts w:eastAsia="Arial" w:cs="Times New Roman"/>
          <w:bCs/>
          <w:color w:val="000000"/>
        </w:rPr>
        <w:t xml:space="preserve"> and is available from</w:t>
      </w:r>
    </w:p>
    <w:p w:rsidR="004314EA" w:rsidRPr="00321A96" w:rsidRDefault="00DF3874" w:rsidP="004314EA">
      <w:pPr>
        <w:jc w:val="center"/>
        <w:rPr>
          <w:rFonts w:eastAsia="Arial" w:cs="Times New Roman"/>
          <w:color w:val="000000"/>
        </w:rPr>
      </w:pPr>
      <w:hyperlink r:id="rId85" w:anchor="measures" w:history="1">
        <w:r w:rsidR="004314EA" w:rsidRPr="00BB5D46">
          <w:rPr>
            <w:rFonts w:eastAsia="Arial" w:cs="Times New Roman"/>
            <w:color w:val="0563C1"/>
            <w:u w:val="single"/>
          </w:rPr>
          <w:t>http://www.acqol.com.au/instruments#measures</w:t>
        </w:r>
      </w:hyperlink>
      <w:r w:rsidR="004314EA" w:rsidRPr="00BB5D46">
        <w:rPr>
          <w:rFonts w:eastAsia="Arial" w:cs="Times New Roman"/>
          <w:color w:val="000000"/>
        </w:rPr>
        <w:t xml:space="preserve"> </w:t>
      </w:r>
    </w:p>
    <w:p w:rsidR="00F43722" w:rsidRPr="00BB5D46" w:rsidRDefault="00F43722" w:rsidP="004314EA">
      <w:pPr>
        <w:rPr>
          <w:rFonts w:eastAsia="Arial" w:cs="Times New Roman"/>
          <w:color w:val="000000"/>
        </w:rPr>
      </w:pPr>
    </w:p>
    <w:p w:rsidR="00F43722" w:rsidRPr="00BB5D46" w:rsidRDefault="00F43722" w:rsidP="00F43722">
      <w:pPr>
        <w:jc w:val="center"/>
        <w:rPr>
          <w:rFonts w:eastAsia="Arial" w:cs="Times New Roman"/>
          <w:color w:val="000000"/>
        </w:rPr>
      </w:pPr>
      <w:r w:rsidRPr="00BB5D46">
        <w:rPr>
          <w:rFonts w:eastAsia="Arial" w:cs="Times New Roman"/>
          <w:b/>
          <w:color w:val="000000"/>
        </w:rPr>
        <w:t xml:space="preserve">Reference: </w:t>
      </w:r>
      <w:proofErr w:type="spellStart"/>
      <w:r w:rsidR="004314EA">
        <w:rPr>
          <w:rFonts w:eastAsia="Arial" w:cs="Times New Roman"/>
          <w:color w:val="000000"/>
        </w:rPr>
        <w:t>Hartanty</w:t>
      </w:r>
      <w:proofErr w:type="spellEnd"/>
      <w:r w:rsidR="004314EA">
        <w:rPr>
          <w:rFonts w:eastAsia="Arial" w:cs="Times New Roman"/>
          <w:color w:val="000000"/>
        </w:rPr>
        <w:t>, N.</w:t>
      </w:r>
      <w:r>
        <w:rPr>
          <w:rFonts w:eastAsia="Arial" w:cs="Times New Roman"/>
          <w:color w:val="000000"/>
        </w:rPr>
        <w:t xml:space="preserve"> (2019</w:t>
      </w:r>
      <w:r w:rsidRPr="00BB5D46">
        <w:rPr>
          <w:rFonts w:eastAsia="Arial" w:cs="Times New Roman"/>
          <w:color w:val="000000"/>
        </w:rPr>
        <w:t xml:space="preserve">). </w:t>
      </w:r>
      <w:r w:rsidR="004314EA">
        <w:rPr>
          <w:rFonts w:eastAsia="Arial" w:cs="Times New Roman"/>
          <w:color w:val="000000"/>
        </w:rPr>
        <w:t xml:space="preserve">Satisfaction </w:t>
      </w:r>
      <w:proofErr w:type="gramStart"/>
      <w:r w:rsidR="004314EA">
        <w:rPr>
          <w:rFonts w:eastAsia="Arial" w:cs="Times New Roman"/>
          <w:color w:val="000000"/>
        </w:rPr>
        <w:t>With</w:t>
      </w:r>
      <w:proofErr w:type="gramEnd"/>
      <w:r w:rsidR="004314EA">
        <w:rPr>
          <w:rFonts w:eastAsia="Arial" w:cs="Times New Roman"/>
          <w:color w:val="000000"/>
        </w:rPr>
        <w:t xml:space="preserve"> Life Scale</w:t>
      </w:r>
      <w:r w:rsidRPr="00BB5D46">
        <w:rPr>
          <w:rFonts w:eastAsia="Arial" w:cs="Times New Roman"/>
          <w:color w:val="000000"/>
        </w:rPr>
        <w:t xml:space="preserve">. In: R. A. Cummins (Ed.), Australian Centre on Quality of Life: Directory of Instruments. Deakin University: Geelong. </w:t>
      </w:r>
    </w:p>
    <w:p w:rsidR="00F43722" w:rsidRPr="00321A96" w:rsidRDefault="00DF3874" w:rsidP="00F43722">
      <w:pPr>
        <w:jc w:val="center"/>
        <w:rPr>
          <w:rFonts w:eastAsia="Arial" w:cs="Times New Roman"/>
          <w:color w:val="000000"/>
        </w:rPr>
      </w:pPr>
      <w:hyperlink r:id="rId86" w:anchor="measures" w:history="1">
        <w:r w:rsidR="00F43722" w:rsidRPr="00BB5D46">
          <w:rPr>
            <w:rFonts w:eastAsia="Arial" w:cs="Times New Roman"/>
            <w:color w:val="0563C1"/>
            <w:u w:val="single"/>
          </w:rPr>
          <w:t>http://www.acqol.com.au/instruments#measures</w:t>
        </w:r>
      </w:hyperlink>
      <w:r w:rsidR="00F43722" w:rsidRPr="00BB5D46">
        <w:rPr>
          <w:rFonts w:eastAsia="Arial" w:cs="Times New Roman"/>
          <w:color w:val="000000"/>
        </w:rPr>
        <w:t xml:space="preserve"> </w:t>
      </w:r>
    </w:p>
    <w:p w:rsidR="00F43722" w:rsidRDefault="00F43722" w:rsidP="00F244FD">
      <w:pPr>
        <w:rPr>
          <w:rFonts w:eastAsia="Times New Roman" w:cs="Times New Roman"/>
          <w:b/>
          <w:sz w:val="32"/>
          <w:szCs w:val="32"/>
          <w:lang w:val="en-US"/>
        </w:rPr>
      </w:pPr>
    </w:p>
    <w:p w:rsidR="00B73A75" w:rsidRDefault="00B73A75" w:rsidP="00B73A75">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B73A75" w:rsidRPr="00AB777F" w:rsidRDefault="00B73A75" w:rsidP="00AB777F">
      <w:pPr>
        <w:jc w:val="center"/>
        <w:rPr>
          <w:rFonts w:eastAsia="Calibri" w:cs="Times New Roman"/>
          <w:i/>
          <w:szCs w:val="22"/>
        </w:rPr>
      </w:pPr>
      <w:r w:rsidRPr="007F0718">
        <w:rPr>
          <w:rFonts w:eastAsia="Calibri" w:cs="Times New Roman"/>
          <w:i/>
          <w:szCs w:val="22"/>
        </w:rPr>
        <w:t>Sourced from the Analysis &amp; Policy Observatory</w:t>
      </w:r>
    </w:p>
    <w:p w:rsidR="00B73A75" w:rsidRPr="00BB5D46" w:rsidRDefault="00B73A75" w:rsidP="00B73A75">
      <w:pPr>
        <w:jc w:val="center"/>
        <w:rPr>
          <w:rFonts w:eastAsia="Arial" w:cs="Times New Roman"/>
          <w:b/>
          <w:color w:val="000000"/>
          <w:sz w:val="32"/>
          <w:szCs w:val="32"/>
          <w:lang w:val="en-US"/>
        </w:rPr>
      </w:pPr>
    </w:p>
    <w:p w:rsidR="00B24707" w:rsidRDefault="00B24707" w:rsidP="00B24707">
      <w:pPr>
        <w:rPr>
          <w:rFonts w:eastAsia="Arial" w:cs="Times New Roman"/>
          <w:color w:val="000000"/>
          <w:sz w:val="20"/>
          <w:szCs w:val="20"/>
          <w:lang w:val="en-US"/>
        </w:rPr>
      </w:pPr>
      <w:r w:rsidRPr="00B24707">
        <w:rPr>
          <w:rFonts w:eastAsia="Arial" w:cs="Times New Roman"/>
          <w:color w:val="000000"/>
          <w:sz w:val="20"/>
          <w:szCs w:val="20"/>
          <w:lang w:val="en-US"/>
        </w:rPr>
        <w:t xml:space="preserve">Victorian Ombudsman. (2019). OPCAT in Victoria: A thematic investigation of practices related to solitary confinement of children and young people. Melbourne: Victorian government printer </w:t>
      </w:r>
      <w:hyperlink r:id="rId87" w:history="1">
        <w:r w:rsidRPr="00F446D1">
          <w:rPr>
            <w:rStyle w:val="Hyperlink"/>
            <w:rFonts w:eastAsia="Arial" w:cs="Times New Roman"/>
            <w:sz w:val="20"/>
            <w:szCs w:val="20"/>
            <w:lang w:val="en-US"/>
          </w:rPr>
          <w:t>https://apo.org.au/sites/default/files/resource-files/2019/09/aponid257076-1384436.pdf</w:t>
        </w:r>
      </w:hyperlink>
      <w:r w:rsidRPr="00B24707">
        <w:rPr>
          <w:rFonts w:eastAsia="Arial" w:cs="Times New Roman"/>
          <w:color w:val="000000"/>
          <w:sz w:val="20"/>
          <w:szCs w:val="20"/>
          <w:lang w:val="en-US"/>
        </w:rPr>
        <w:t>.</w:t>
      </w:r>
    </w:p>
    <w:p w:rsidR="00B24707" w:rsidRDefault="00B24707" w:rsidP="00B24707">
      <w:pPr>
        <w:rPr>
          <w:rFonts w:eastAsia="Arial" w:cs="Times New Roman"/>
          <w:color w:val="000000"/>
          <w:sz w:val="20"/>
          <w:szCs w:val="20"/>
          <w:lang w:val="en-US"/>
        </w:rPr>
      </w:pPr>
    </w:p>
    <w:p w:rsidR="00B73A75" w:rsidRPr="00B24707" w:rsidRDefault="00B24707" w:rsidP="00B24707">
      <w:pPr>
        <w:rPr>
          <w:rFonts w:eastAsia="Arial" w:cs="Times New Roman"/>
          <w:color w:val="000000"/>
          <w:sz w:val="22"/>
          <w:szCs w:val="22"/>
          <w:lang w:val="en-US"/>
        </w:rPr>
      </w:pPr>
      <w:r w:rsidRPr="00B24707">
        <w:rPr>
          <w:rFonts w:eastAsia="Arial" w:cs="Times New Roman"/>
          <w:color w:val="000000"/>
          <w:sz w:val="22"/>
          <w:szCs w:val="22"/>
          <w:lang w:val="en-US"/>
        </w:rPr>
        <w:t>This report considers the practical implications of implementing the Optional Protocol to the Convention Against Torture and Other Cruel, Inhuman or Degrading Treatment or Punishment (OPCAT) in Victoria.</w:t>
      </w:r>
    </w:p>
    <w:p w:rsidR="00B24707" w:rsidRPr="00B24707" w:rsidRDefault="00B24707" w:rsidP="00B24707">
      <w:pPr>
        <w:rPr>
          <w:rFonts w:eastAsia="Arial" w:cs="Times New Roman"/>
          <w:color w:val="000000"/>
          <w:sz w:val="22"/>
          <w:szCs w:val="22"/>
          <w:lang w:val="en-US"/>
        </w:rPr>
      </w:pPr>
    </w:p>
    <w:p w:rsidR="00B24707" w:rsidRPr="00B24707" w:rsidRDefault="00B24707" w:rsidP="00B24707">
      <w:pPr>
        <w:rPr>
          <w:rFonts w:cs="Times New Roman"/>
          <w:sz w:val="22"/>
          <w:szCs w:val="22"/>
        </w:rPr>
      </w:pPr>
      <w:r w:rsidRPr="00B24707">
        <w:rPr>
          <w:rFonts w:cs="Times New Roman"/>
          <w:sz w:val="22"/>
          <w:szCs w:val="22"/>
        </w:rPr>
        <w:t>OPCAT is an international human rights treaty that aims to prevent abuse of people in detention by opening places where people are deprived of liberty –prisons, police cells, psychiatric hospitals and so on – to regular independent inspections.</w:t>
      </w:r>
    </w:p>
    <w:p w:rsidR="00B24707" w:rsidRPr="00B24707" w:rsidRDefault="00B24707" w:rsidP="00B24707">
      <w:pPr>
        <w:rPr>
          <w:rFonts w:cs="Times New Roman"/>
          <w:sz w:val="22"/>
          <w:szCs w:val="22"/>
        </w:rPr>
      </w:pPr>
    </w:p>
    <w:p w:rsidR="00B24707" w:rsidRPr="00B24707" w:rsidRDefault="00B24707" w:rsidP="00B24707">
      <w:pPr>
        <w:rPr>
          <w:rFonts w:cs="Times New Roman"/>
          <w:sz w:val="22"/>
          <w:szCs w:val="22"/>
        </w:rPr>
      </w:pPr>
      <w:r w:rsidRPr="00B24707">
        <w:rPr>
          <w:rFonts w:cs="Times New Roman"/>
          <w:sz w:val="22"/>
          <w:szCs w:val="22"/>
        </w:rPr>
        <w:t>The Victorian Ombudsman’s ‘thematic’ OPCAT-style inspection took place over three weeks in March and April 2019. It focussed on practices that may lead or amount to solitary confinement of children and young people, being isolation ‘for 22 or more hours a day without meaningful human contact’, as described in the UN Standard Minimum Rules for the Treatment of Prisoners (called the ‘Mandela Rules’).</w:t>
      </w:r>
    </w:p>
    <w:p w:rsidR="00B24707" w:rsidRPr="00B24707" w:rsidRDefault="00B24707" w:rsidP="00B24707">
      <w:pPr>
        <w:rPr>
          <w:rFonts w:cs="Times New Roman"/>
          <w:sz w:val="22"/>
          <w:szCs w:val="22"/>
        </w:rPr>
      </w:pPr>
    </w:p>
    <w:p w:rsidR="00B24707" w:rsidRPr="00B24707" w:rsidRDefault="00B24707" w:rsidP="00B24707">
      <w:pPr>
        <w:rPr>
          <w:rFonts w:cs="Times New Roman"/>
          <w:sz w:val="22"/>
          <w:szCs w:val="22"/>
        </w:rPr>
      </w:pPr>
      <w:r w:rsidRPr="00B24707">
        <w:rPr>
          <w:rFonts w:cs="Times New Roman"/>
          <w:sz w:val="22"/>
          <w:szCs w:val="22"/>
        </w:rPr>
        <w:lastRenderedPageBreak/>
        <w:t>The evidence of staff across the three facilities ranged from informed understanding of the impact of isolation, to concerns about the practice but without the tools to respond in other ways, to outright denial that isolating young people may be a problem. In both the prison and youth justice environments the investigation’s survey suggests a particular lack of understanding about the mental health impact of isolation on young people.</w:t>
      </w:r>
    </w:p>
    <w:p w:rsidR="00B24707" w:rsidRPr="00B24707" w:rsidRDefault="00B24707" w:rsidP="00B24707">
      <w:pPr>
        <w:rPr>
          <w:rFonts w:cs="Times New Roman"/>
          <w:sz w:val="22"/>
          <w:szCs w:val="22"/>
        </w:rPr>
      </w:pPr>
    </w:p>
    <w:p w:rsidR="00B24707" w:rsidRPr="00B24707" w:rsidRDefault="00B24707" w:rsidP="00B24707">
      <w:pPr>
        <w:rPr>
          <w:rFonts w:cs="Times New Roman"/>
          <w:sz w:val="22"/>
          <w:szCs w:val="22"/>
        </w:rPr>
      </w:pPr>
      <w:r w:rsidRPr="00B24707">
        <w:rPr>
          <w:rFonts w:cs="Times New Roman"/>
          <w:sz w:val="22"/>
          <w:szCs w:val="22"/>
        </w:rPr>
        <w:t>Overall, the inspection found that whatever name, and for whatever reason, the practice of isolating children and young people is widespread in both the prison and youth justice environments. It is equally apparent that the practice is seen as punitive, even when that is not the intention; young people can be isolated both for acts of violence and for being the victim of an act of violence – and when used in response to challenging behaviour may exacerbate rather than improve the situation.</w:t>
      </w:r>
    </w:p>
    <w:p w:rsidR="00B73A75" w:rsidRDefault="00B73A75" w:rsidP="00B73A75">
      <w:pPr>
        <w:jc w:val="center"/>
        <w:rPr>
          <w:rFonts w:ascii="Helvetica" w:hAnsi="Helvetica" w:cs="Helvetica"/>
          <w:sz w:val="18"/>
          <w:szCs w:val="18"/>
        </w:rPr>
      </w:pPr>
    </w:p>
    <w:p w:rsidR="00B73A75" w:rsidRPr="00CB131A" w:rsidRDefault="00B73A75" w:rsidP="00B73A75">
      <w:pPr>
        <w:jc w:val="center"/>
        <w:rPr>
          <w:rFonts w:eastAsia="Arial" w:cs="Times New Roman"/>
          <w:b/>
          <w:sz w:val="32"/>
          <w:szCs w:val="32"/>
        </w:rPr>
      </w:pPr>
      <w:r w:rsidRPr="00BB5D46">
        <w:rPr>
          <w:rFonts w:eastAsia="Arial" w:cs="Times New Roman"/>
          <w:b/>
          <w:sz w:val="32"/>
          <w:szCs w:val="32"/>
        </w:rPr>
        <w:t>Media news</w:t>
      </w:r>
    </w:p>
    <w:p w:rsidR="00B73A75" w:rsidRPr="00CB131A" w:rsidRDefault="00B73A75" w:rsidP="00B73A75">
      <w:pPr>
        <w:jc w:val="center"/>
        <w:rPr>
          <w:rFonts w:eastAsia="Arial" w:cs="Times New Roman"/>
          <w:i/>
        </w:rPr>
      </w:pPr>
      <w:r w:rsidRPr="00CB131A">
        <w:rPr>
          <w:rFonts w:eastAsia="Arial" w:cs="Times New Roman"/>
          <w:i/>
        </w:rPr>
        <w:t>Tanika Roberts [</w:t>
      </w:r>
      <w:hyperlink r:id="rId88" w:history="1">
        <w:r w:rsidRPr="00CB131A">
          <w:rPr>
            <w:rStyle w:val="Hyperlink"/>
            <w:rFonts w:eastAsia="Arial" w:cs="Times New Roman"/>
            <w:i/>
          </w:rPr>
          <w:t>trobe@deakin.edu.au</w:t>
        </w:r>
      </w:hyperlink>
      <w:r w:rsidRPr="00CB131A">
        <w:rPr>
          <w:rFonts w:eastAsia="Arial" w:cs="Times New Roman"/>
          <w:i/>
        </w:rPr>
        <w:t>]</w:t>
      </w:r>
    </w:p>
    <w:p w:rsidR="00B73A75" w:rsidRPr="00CB131A" w:rsidRDefault="00B73A75" w:rsidP="00B73A75">
      <w:pPr>
        <w:jc w:val="center"/>
        <w:rPr>
          <w:rFonts w:eastAsia="Arial" w:cs="Times New Roman"/>
          <w:i/>
        </w:rPr>
      </w:pPr>
      <w:r w:rsidRPr="00CB131A">
        <w:rPr>
          <w:rFonts w:eastAsia="Arial" w:cs="Times New Roman"/>
          <w:i/>
        </w:rPr>
        <w:t>Executive Volunteer, Bulletin Co-Editor– Media</w:t>
      </w:r>
    </w:p>
    <w:p w:rsidR="00B73A75" w:rsidRDefault="00B73A75" w:rsidP="00B73A75">
      <w:pPr>
        <w:rPr>
          <w:rFonts w:eastAsia="Arial" w:cs="Times New Roman"/>
          <w:sz w:val="28"/>
          <w:szCs w:val="28"/>
        </w:rPr>
      </w:pPr>
    </w:p>
    <w:p w:rsidR="00F244FD" w:rsidRPr="00F33B8D" w:rsidRDefault="00F244FD" w:rsidP="00F244FD">
      <w:pPr>
        <w:rPr>
          <w:rFonts w:eastAsia="Calibri" w:cs="Times New Roman"/>
          <w:lang w:eastAsia="en-AU"/>
        </w:rPr>
      </w:pPr>
      <w:r w:rsidRPr="00F33B8D">
        <w:rPr>
          <w:rFonts w:eastAsia="Calibri" w:cs="Times New Roman"/>
          <w:b/>
          <w:bCs/>
          <w:lang w:eastAsia="en-AU"/>
        </w:rPr>
        <w:t>The Burnout We Can't Talk About: Parent Burnout</w:t>
      </w:r>
    </w:p>
    <w:p w:rsidR="00F244FD" w:rsidRDefault="00F244FD" w:rsidP="00F244FD">
      <w:pPr>
        <w:rPr>
          <w:rFonts w:eastAsia="Calibri" w:cs="Times New Roman"/>
          <w:sz w:val="21"/>
          <w:szCs w:val="21"/>
          <w:lang w:eastAsia="en-AU"/>
        </w:rPr>
      </w:pPr>
      <w:r w:rsidRPr="00F244FD">
        <w:rPr>
          <w:rFonts w:eastAsia="Calibri" w:cs="Times New Roman"/>
          <w:sz w:val="21"/>
          <w:szCs w:val="21"/>
          <w:lang w:eastAsia="en-AU"/>
        </w:rPr>
        <w:t xml:space="preserve">Robyn </w:t>
      </w:r>
      <w:proofErr w:type="spellStart"/>
      <w:r w:rsidRPr="00F244FD">
        <w:rPr>
          <w:rFonts w:eastAsia="Calibri" w:cs="Times New Roman"/>
          <w:sz w:val="21"/>
          <w:szCs w:val="21"/>
          <w:lang w:eastAsia="en-AU"/>
        </w:rPr>
        <w:t>Koslowitz</w:t>
      </w:r>
      <w:proofErr w:type="spellEnd"/>
      <w:r w:rsidRPr="00F244FD">
        <w:rPr>
          <w:rFonts w:eastAsia="Calibri" w:cs="Times New Roman"/>
          <w:sz w:val="21"/>
          <w:szCs w:val="21"/>
          <w:lang w:eastAsia="en-AU"/>
        </w:rPr>
        <w:t xml:space="preserve">  </w:t>
      </w:r>
    </w:p>
    <w:p w:rsidR="00F244FD" w:rsidRPr="00F244FD" w:rsidRDefault="00DF3874" w:rsidP="00F244FD">
      <w:pPr>
        <w:rPr>
          <w:rFonts w:eastAsia="Calibri" w:cs="Times New Roman"/>
          <w:lang w:eastAsia="en-AU"/>
        </w:rPr>
      </w:pPr>
      <w:hyperlink r:id="rId89" w:history="1">
        <w:r w:rsidR="00F244FD" w:rsidRPr="00F244FD">
          <w:rPr>
            <w:rFonts w:eastAsia="Calibri" w:cs="Times New Roman"/>
            <w:color w:val="0000FF"/>
            <w:sz w:val="21"/>
            <w:szCs w:val="21"/>
            <w:u w:val="single"/>
            <w:lang w:eastAsia="en-AU"/>
          </w:rPr>
          <w:t>https://www.psychologytoday.com/au/blog/targeted-parenting/201909/the-burnout-we-cant-talk-about-parent-burnout</w:t>
        </w:r>
      </w:hyperlink>
    </w:p>
    <w:p w:rsidR="00F244FD" w:rsidRDefault="00F244FD" w:rsidP="00F244FD">
      <w:pPr>
        <w:rPr>
          <w:rFonts w:eastAsia="Calibri" w:cs="Times New Roman"/>
          <w:sz w:val="21"/>
          <w:szCs w:val="21"/>
          <w:lang w:eastAsia="en-AU"/>
        </w:rPr>
      </w:pPr>
    </w:p>
    <w:p w:rsidR="00F244FD" w:rsidRPr="00F244FD" w:rsidRDefault="00F244FD" w:rsidP="00F244FD">
      <w:pPr>
        <w:rPr>
          <w:rFonts w:eastAsia="Calibri" w:cs="Times New Roman"/>
          <w:lang w:eastAsia="en-AU"/>
        </w:rPr>
      </w:pPr>
      <w:r w:rsidRPr="00F244FD">
        <w:rPr>
          <w:rFonts w:eastAsia="Calibri" w:cs="Times New Roman"/>
          <w:color w:val="2C2D30"/>
          <w:sz w:val="21"/>
          <w:szCs w:val="21"/>
          <w:shd w:val="clear" w:color="auto" w:fill="FFFFFF"/>
          <w:lang w:eastAsia="en-AU"/>
        </w:rPr>
        <w:t>We are taught, both explicitly and implicitly, that parenting is so rewarding, fulfilling and wonderful that the task is so joyful that the occasional difficulties (Meltdowns! Dirty diapers. 2 AM wakeup calls. Dirty diapers at 2AM!) are barely noticed. That’s just plain untrue, and it’s a myth that can harm parents.</w:t>
      </w:r>
    </w:p>
    <w:p w:rsidR="00F244FD" w:rsidRDefault="00F244FD" w:rsidP="00F244FD">
      <w:pPr>
        <w:rPr>
          <w:rFonts w:eastAsia="Calibri" w:cs="Times New Roman"/>
          <w:color w:val="2C2D30"/>
          <w:sz w:val="21"/>
          <w:szCs w:val="21"/>
          <w:shd w:val="clear" w:color="auto" w:fill="FFFFFF"/>
          <w:lang w:eastAsia="en-AU"/>
        </w:rPr>
      </w:pPr>
      <w:r w:rsidRPr="00F244FD">
        <w:rPr>
          <w:rFonts w:eastAsia="Calibri" w:cs="Times New Roman"/>
          <w:color w:val="2C2D30"/>
          <w:sz w:val="21"/>
          <w:szCs w:val="21"/>
          <w:shd w:val="clear" w:color="auto" w:fill="FFFFFF"/>
          <w:lang w:eastAsia="en-AU"/>
        </w:rPr>
        <w:t>Burnout is an exhaustion syndrome, characterized by feeling overwhelmed, physical and emotional exhaustion, emotional distancing from one's children, and a sense of being an ineffective parent. Parental burnout can have serious consequences. </w:t>
      </w:r>
      <w:r w:rsidRPr="00F244FD">
        <w:rPr>
          <w:rFonts w:eastAsia="Calibri" w:cs="Times New Roman"/>
          <w:sz w:val="21"/>
          <w:szCs w:val="21"/>
          <w:lang w:eastAsia="en-AU"/>
        </w:rPr>
        <w:t>Research indicates that parental burnout has much more severe implications than were previously thought. Burnout was associated with escape ideation—the fantasy of simply leaving parenting</w:t>
      </w:r>
      <w:r w:rsidRPr="00F244FD">
        <w:rPr>
          <w:rFonts w:eastAsia="Calibri" w:cs="Times New Roman"/>
          <w:color w:val="2C2D30"/>
          <w:sz w:val="21"/>
          <w:szCs w:val="21"/>
          <w:shd w:val="clear" w:color="auto" w:fill="FFFFFF"/>
          <w:lang w:eastAsia="en-AU"/>
        </w:rPr>
        <w:t xml:space="preserve"> and all its stressors—as well as with neglectful </w:t>
      </w:r>
      <w:proofErr w:type="spellStart"/>
      <w:r w:rsidRPr="00F244FD">
        <w:rPr>
          <w:rFonts w:eastAsia="Calibri" w:cs="Times New Roman"/>
          <w:color w:val="2C2D30"/>
          <w:sz w:val="21"/>
          <w:szCs w:val="21"/>
          <w:shd w:val="clear" w:color="auto" w:fill="FFFFFF"/>
          <w:lang w:eastAsia="en-AU"/>
        </w:rPr>
        <w:t>behavior</w:t>
      </w:r>
      <w:proofErr w:type="spellEnd"/>
      <w:r w:rsidRPr="00F244FD">
        <w:rPr>
          <w:rFonts w:eastAsia="Calibri" w:cs="Times New Roman"/>
          <w:color w:val="2C2D30"/>
          <w:sz w:val="21"/>
          <w:szCs w:val="21"/>
          <w:shd w:val="clear" w:color="auto" w:fill="FFFFFF"/>
          <w:lang w:eastAsia="en-AU"/>
        </w:rPr>
        <w:t> and a "violence" category that included verbal and psychological </w:t>
      </w:r>
      <w:r w:rsidRPr="00F244FD">
        <w:rPr>
          <w:rFonts w:eastAsia="Calibri" w:cs="Times New Roman"/>
          <w:sz w:val="21"/>
          <w:szCs w:val="21"/>
          <w:lang w:eastAsia="en-AU"/>
        </w:rPr>
        <w:t>aggression</w:t>
      </w:r>
      <w:r w:rsidRPr="00F244FD">
        <w:rPr>
          <w:rFonts w:eastAsia="Calibri" w:cs="Times New Roman"/>
          <w:color w:val="2C2D30"/>
          <w:sz w:val="21"/>
          <w:szCs w:val="21"/>
          <w:shd w:val="clear" w:color="auto" w:fill="FFFFFF"/>
          <w:lang w:eastAsia="en-AU"/>
        </w:rPr>
        <w:t> and physical aggression directed at children.</w:t>
      </w:r>
    </w:p>
    <w:p w:rsidR="00F244FD" w:rsidRPr="00F244FD" w:rsidRDefault="00F244FD" w:rsidP="00F244FD">
      <w:pPr>
        <w:rPr>
          <w:rFonts w:eastAsia="Calibri" w:cs="Times New Roman"/>
          <w:lang w:eastAsia="en-AU"/>
        </w:rPr>
      </w:pPr>
    </w:p>
    <w:p w:rsidR="00B73A75" w:rsidRPr="00BB5D46" w:rsidRDefault="00B73A75" w:rsidP="00B73A75">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B73A75" w:rsidRPr="006F0D33" w:rsidRDefault="00B73A75" w:rsidP="00B73A75">
      <w:pPr>
        <w:jc w:val="center"/>
        <w:rPr>
          <w:rFonts w:eastAsia="Calibri" w:cs="Times New Roman"/>
          <w:szCs w:val="22"/>
        </w:rPr>
      </w:pPr>
      <w:r w:rsidRPr="006F0D33">
        <w:rPr>
          <w:rFonts w:eastAsia="Calibri" w:cs="Times New Roman"/>
          <w:szCs w:val="22"/>
        </w:rPr>
        <w:t>Sangeetha Thomas &lt;thomassa@deakin.edu.au&gt;</w:t>
      </w:r>
      <w:r w:rsidRPr="006F0D33">
        <w:rPr>
          <w:rFonts w:eastAsia="Calibri" w:cs="Times New Roman"/>
          <w:szCs w:val="22"/>
        </w:rPr>
        <w:fldChar w:fldCharType="begin"/>
      </w:r>
      <w:r w:rsidRPr="006F0D33">
        <w:rPr>
          <w:rFonts w:eastAsia="Calibri" w:cs="Times New Roman"/>
          <w:szCs w:val="22"/>
        </w:rPr>
        <w:instrText xml:space="preserve">simonet@deakin.edu.au" </w:instrText>
      </w:r>
      <w:r w:rsidRPr="006F0D33">
        <w:rPr>
          <w:rFonts w:eastAsia="Calibri" w:cs="Times New Roman"/>
          <w:szCs w:val="22"/>
        </w:rPr>
        <w:fldChar w:fldCharType="separate"/>
      </w:r>
      <w:r w:rsidRPr="006F0D33">
        <w:rPr>
          <w:rFonts w:eastAsia="Calibri" w:cs="Times New Roman"/>
          <w:szCs w:val="22"/>
        </w:rPr>
        <w:t>simonet@deakin.edu.au</w:t>
      </w:r>
      <w:r w:rsidRPr="006F0D33">
        <w:rPr>
          <w:rFonts w:eastAsia="Calibri" w:cs="Times New Roman"/>
          <w:szCs w:val="22"/>
        </w:rPr>
        <w:fldChar w:fldCharType="end"/>
      </w:r>
    </w:p>
    <w:p w:rsidR="00B73A75" w:rsidRPr="00BB5D46" w:rsidRDefault="00B73A75" w:rsidP="00B73A75">
      <w:pPr>
        <w:jc w:val="center"/>
        <w:rPr>
          <w:rFonts w:eastAsia="Calibri" w:cs="Times New Roman"/>
          <w:i/>
          <w:szCs w:val="22"/>
        </w:rPr>
      </w:pPr>
      <w:r w:rsidRPr="00BB5D46">
        <w:rPr>
          <w:rFonts w:eastAsia="Calibri" w:cs="Times New Roman"/>
          <w:i/>
          <w:szCs w:val="22"/>
        </w:rPr>
        <w:t>Membership Registrar</w:t>
      </w:r>
    </w:p>
    <w:p w:rsidR="00B73A75" w:rsidRPr="009F24AA" w:rsidRDefault="00B73A75" w:rsidP="00B73A75">
      <w:pPr>
        <w:rPr>
          <w:rFonts w:eastAsia="Calibri" w:cs="Times New Roman"/>
          <w:i/>
          <w:sz w:val="28"/>
          <w:szCs w:val="28"/>
        </w:rPr>
      </w:pPr>
      <w:r w:rsidRPr="009F24AA">
        <w:rPr>
          <w:rFonts w:eastAsia="Times New Roman" w:cs="Times New Roman"/>
          <w:b/>
          <w:sz w:val="28"/>
          <w:szCs w:val="28"/>
          <w:lang w:val="en-US"/>
        </w:rPr>
        <w:t>Welcome to new members</w:t>
      </w:r>
    </w:p>
    <w:p w:rsidR="009F24AA" w:rsidRPr="009F24AA" w:rsidRDefault="00DF3874" w:rsidP="009F24AA">
      <w:pPr>
        <w:spacing w:line="259" w:lineRule="auto"/>
        <w:rPr>
          <w:rFonts w:eastAsia="DengXian" w:cs="Times New Roman"/>
          <w:b/>
          <w:bCs/>
          <w:lang w:eastAsia="zh-CN"/>
        </w:rPr>
      </w:pPr>
      <w:hyperlink r:id="rId90" w:history="1">
        <w:proofErr w:type="spellStart"/>
        <w:r w:rsidR="009F24AA" w:rsidRPr="009F24AA">
          <w:rPr>
            <w:rFonts w:eastAsia="DengXian" w:cs="Times New Roman"/>
            <w:b/>
            <w:bCs/>
            <w:color w:val="0000FF"/>
            <w:u w:val="single"/>
            <w:lang w:eastAsia="zh-CN"/>
          </w:rPr>
          <w:t>Dr.</w:t>
        </w:r>
        <w:proofErr w:type="spellEnd"/>
        <w:r w:rsidR="009F24AA" w:rsidRPr="009F24AA">
          <w:rPr>
            <w:rFonts w:eastAsia="DengXian" w:cs="Times New Roman"/>
            <w:b/>
            <w:bCs/>
            <w:color w:val="0000FF"/>
            <w:u w:val="single"/>
            <w:lang w:eastAsia="zh-CN"/>
          </w:rPr>
          <w:t xml:space="preserve"> Rhonda Phillips</w:t>
        </w:r>
      </w:hyperlink>
    </w:p>
    <w:p w:rsidR="009F24AA" w:rsidRPr="009F24AA" w:rsidRDefault="009F24AA" w:rsidP="009F24AA">
      <w:pPr>
        <w:spacing w:line="259" w:lineRule="auto"/>
        <w:rPr>
          <w:rFonts w:eastAsia="DengXian" w:cs="Times New Roman"/>
          <w:lang w:eastAsia="zh-CN"/>
        </w:rPr>
      </w:pPr>
      <w:r w:rsidRPr="009F24AA">
        <w:rPr>
          <w:rFonts w:eastAsia="DengXian" w:cs="Times New Roman"/>
          <w:lang w:eastAsia="zh-CN"/>
        </w:rPr>
        <w:t>Dean and Professor, Purdue University</w:t>
      </w:r>
    </w:p>
    <w:p w:rsidR="009F24AA" w:rsidRPr="009F24AA" w:rsidRDefault="009F24AA" w:rsidP="009F24AA">
      <w:pPr>
        <w:spacing w:line="259" w:lineRule="auto"/>
        <w:rPr>
          <w:rFonts w:eastAsia="DengXian" w:cs="Times New Roman"/>
          <w:lang w:eastAsia="zh-CN"/>
        </w:rPr>
      </w:pPr>
      <w:r w:rsidRPr="009F24AA">
        <w:rPr>
          <w:rFonts w:eastAsia="DengXian" w:cs="Times New Roman"/>
          <w:b/>
          <w:bCs/>
          <w:lang w:eastAsia="zh-CN"/>
        </w:rPr>
        <w:t>Keywords:</w:t>
      </w:r>
      <w:r w:rsidRPr="009F24AA">
        <w:rPr>
          <w:rFonts w:eastAsia="DengXian" w:cs="Times New Roman"/>
          <w:lang w:eastAsia="zh-CN"/>
        </w:rPr>
        <w:t xml:space="preserve"> Community well-being, community development, urban and regional planning and development</w:t>
      </w:r>
    </w:p>
    <w:p w:rsidR="009F24AA" w:rsidRPr="009F24AA" w:rsidRDefault="009F24AA" w:rsidP="009F24AA">
      <w:pPr>
        <w:spacing w:line="259" w:lineRule="auto"/>
        <w:rPr>
          <w:rFonts w:eastAsia="DengXian" w:cs="Times New Roman"/>
          <w:lang w:eastAsia="zh-CN"/>
        </w:rPr>
      </w:pPr>
    </w:p>
    <w:p w:rsidR="009F24AA" w:rsidRPr="009F24AA" w:rsidRDefault="00DF3874" w:rsidP="009F24AA">
      <w:pPr>
        <w:spacing w:line="259" w:lineRule="auto"/>
        <w:rPr>
          <w:rFonts w:eastAsia="DengXian" w:cs="Times New Roman"/>
          <w:b/>
          <w:bCs/>
          <w:lang w:eastAsia="zh-CN"/>
        </w:rPr>
      </w:pPr>
      <w:hyperlink r:id="rId91" w:history="1">
        <w:proofErr w:type="spellStart"/>
        <w:r w:rsidR="009F24AA" w:rsidRPr="009F24AA">
          <w:rPr>
            <w:rFonts w:eastAsia="DengXian" w:cs="Times New Roman"/>
            <w:b/>
            <w:bCs/>
            <w:color w:val="0000FF"/>
            <w:u w:val="single"/>
            <w:lang w:eastAsia="zh-CN"/>
          </w:rPr>
          <w:t>Dr.</w:t>
        </w:r>
        <w:proofErr w:type="spellEnd"/>
        <w:r w:rsidR="009F24AA" w:rsidRPr="009F24AA">
          <w:rPr>
            <w:rFonts w:eastAsia="DengXian" w:cs="Times New Roman"/>
            <w:b/>
            <w:bCs/>
            <w:color w:val="0000FF"/>
            <w:u w:val="single"/>
            <w:lang w:eastAsia="zh-CN"/>
          </w:rPr>
          <w:t xml:space="preserve"> Jorge Varela</w:t>
        </w:r>
      </w:hyperlink>
    </w:p>
    <w:p w:rsidR="009F24AA" w:rsidRPr="009F24AA" w:rsidRDefault="009F24AA" w:rsidP="009F24AA">
      <w:pPr>
        <w:spacing w:line="259" w:lineRule="auto"/>
        <w:rPr>
          <w:rFonts w:eastAsia="DengXian" w:cs="Times New Roman"/>
          <w:lang w:eastAsia="zh-CN"/>
        </w:rPr>
      </w:pPr>
      <w:r w:rsidRPr="009F24AA">
        <w:rPr>
          <w:rFonts w:eastAsia="DengXian" w:cs="Times New Roman"/>
          <w:lang w:eastAsia="zh-CN"/>
        </w:rPr>
        <w:t xml:space="preserve">Assistant Professor, Universidad del </w:t>
      </w:r>
      <w:proofErr w:type="spellStart"/>
      <w:r w:rsidRPr="009F24AA">
        <w:rPr>
          <w:rFonts w:eastAsia="DengXian" w:cs="Times New Roman"/>
          <w:lang w:eastAsia="zh-CN"/>
        </w:rPr>
        <w:t>Desarrollo</w:t>
      </w:r>
      <w:proofErr w:type="spellEnd"/>
    </w:p>
    <w:p w:rsidR="009F24AA" w:rsidRPr="009F24AA" w:rsidRDefault="009F24AA" w:rsidP="009F24AA">
      <w:pPr>
        <w:spacing w:line="259" w:lineRule="auto"/>
        <w:rPr>
          <w:rFonts w:eastAsia="DengXian" w:cs="Times New Roman"/>
          <w:lang w:eastAsia="zh-CN"/>
        </w:rPr>
      </w:pPr>
      <w:r w:rsidRPr="009F24AA">
        <w:rPr>
          <w:rFonts w:eastAsia="DengXian" w:cs="Times New Roman"/>
          <w:b/>
          <w:bCs/>
          <w:lang w:eastAsia="zh-CN"/>
        </w:rPr>
        <w:t>Keywords:</w:t>
      </w:r>
      <w:r w:rsidRPr="009F24AA">
        <w:rPr>
          <w:rFonts w:eastAsia="DengXian" w:cs="Times New Roman"/>
          <w:lang w:eastAsia="zh-CN"/>
        </w:rPr>
        <w:t xml:space="preserve"> Aggression, Bullying, Violence, Prevention, Educational Psychology</w:t>
      </w:r>
    </w:p>
    <w:p w:rsidR="00B73A75" w:rsidRPr="009F24AA" w:rsidRDefault="00B73A75" w:rsidP="00B73A75">
      <w:pPr>
        <w:rPr>
          <w:rFonts w:eastAsia="Calibri" w:cs="Times New Roman"/>
          <w:szCs w:val="22"/>
        </w:rPr>
      </w:pPr>
    </w:p>
    <w:p w:rsidR="00B73A75" w:rsidRDefault="00B73A75" w:rsidP="00B73A75">
      <w:pPr>
        <w:pStyle w:val="NormalWeb"/>
        <w:rPr>
          <w:rFonts w:ascii="Arial" w:hAnsi="Arial" w:cs="Arial"/>
          <w:b/>
          <w:color w:val="000000"/>
          <w:sz w:val="20"/>
          <w:szCs w:val="20"/>
        </w:rPr>
      </w:pPr>
      <w:r>
        <w:rPr>
          <w:rFonts w:ascii="Arial" w:hAnsi="Arial" w:cs="Arial"/>
          <w:b/>
          <w:color w:val="000000"/>
          <w:sz w:val="20"/>
          <w:szCs w:val="20"/>
        </w:rPr>
        <w:t>-----------------------</w:t>
      </w:r>
    </w:p>
    <w:p w:rsidR="00B73A75" w:rsidRPr="002C296F" w:rsidRDefault="00B73A75" w:rsidP="00B73A75">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F33B8D" w:rsidRPr="00F33B8D" w:rsidRDefault="00F33B8D" w:rsidP="00F33B8D">
      <w:pPr>
        <w:pStyle w:val="EndNoteBibliography"/>
        <w:ind w:left="720" w:hanging="720"/>
        <w:rPr>
          <w:sz w:val="22"/>
          <w:szCs w:val="22"/>
        </w:rPr>
      </w:pPr>
      <w:r w:rsidRPr="00F33B8D">
        <w:rPr>
          <w:sz w:val="22"/>
          <w:szCs w:val="22"/>
        </w:rPr>
        <w:fldChar w:fldCharType="begin"/>
      </w:r>
      <w:r w:rsidRPr="00F33B8D">
        <w:rPr>
          <w:sz w:val="22"/>
          <w:szCs w:val="22"/>
        </w:rPr>
        <w:instrText xml:space="preserve"> ADDIN EN.REFLIST </w:instrText>
      </w:r>
      <w:r w:rsidRPr="00F33B8D">
        <w:rPr>
          <w:sz w:val="22"/>
          <w:szCs w:val="22"/>
        </w:rPr>
        <w:fldChar w:fldCharType="separate"/>
      </w:r>
      <w:r w:rsidRPr="00F33B8D">
        <w:rPr>
          <w:sz w:val="22"/>
          <w:szCs w:val="22"/>
        </w:rPr>
        <w:t xml:space="preserve">Berman, R. (2016). </w:t>
      </w:r>
      <w:r w:rsidRPr="00F33B8D">
        <w:rPr>
          <w:i/>
          <w:sz w:val="22"/>
          <w:szCs w:val="22"/>
        </w:rPr>
        <w:t>Unhappiness: The Key to Raising Happy Kids</w:t>
      </w:r>
      <w:r w:rsidRPr="00F33B8D">
        <w:rPr>
          <w:sz w:val="22"/>
          <w:szCs w:val="22"/>
        </w:rPr>
        <w:t>. Santa Monica, CA: Goop.</w:t>
      </w:r>
    </w:p>
    <w:p w:rsidR="00F33B8D" w:rsidRPr="00F33B8D" w:rsidRDefault="00F33B8D" w:rsidP="00F33B8D">
      <w:pPr>
        <w:pStyle w:val="EndNoteBibliography"/>
        <w:ind w:left="720" w:hanging="720"/>
        <w:rPr>
          <w:sz w:val="22"/>
          <w:szCs w:val="22"/>
        </w:rPr>
      </w:pPr>
      <w:r w:rsidRPr="00F33B8D">
        <w:rPr>
          <w:sz w:val="22"/>
          <w:szCs w:val="22"/>
        </w:rPr>
        <w:t xml:space="preserve">Capic, T., Li, N., &amp; Cummins, R. A. (2018). Confirmation of Subjective Wellbeing Set-points: Foundational for Subjective Social Indicators. </w:t>
      </w:r>
      <w:r w:rsidRPr="00F33B8D">
        <w:rPr>
          <w:i/>
          <w:sz w:val="22"/>
          <w:szCs w:val="22"/>
        </w:rPr>
        <w:t>Social Indicators Research, 137</w:t>
      </w:r>
      <w:r w:rsidRPr="00F33B8D">
        <w:rPr>
          <w:sz w:val="22"/>
          <w:szCs w:val="22"/>
        </w:rPr>
        <w:t xml:space="preserve">(1), 1-28. Retrieved from 10.1007/s11205-017-1585-5. </w:t>
      </w:r>
    </w:p>
    <w:p w:rsidR="00F33B8D" w:rsidRPr="00F33B8D" w:rsidRDefault="00F33B8D" w:rsidP="00F33B8D">
      <w:pPr>
        <w:pStyle w:val="EndNoteBibliography"/>
        <w:ind w:left="720" w:hanging="720"/>
        <w:rPr>
          <w:sz w:val="22"/>
          <w:szCs w:val="22"/>
        </w:rPr>
      </w:pPr>
      <w:r w:rsidRPr="00F33B8D">
        <w:rPr>
          <w:sz w:val="22"/>
          <w:szCs w:val="22"/>
        </w:rPr>
        <w:lastRenderedPageBreak/>
        <w:t xml:space="preserve">Central Intelligence Agency. (2019). </w:t>
      </w:r>
      <w:r w:rsidRPr="00F33B8D">
        <w:rPr>
          <w:i/>
          <w:sz w:val="22"/>
          <w:szCs w:val="22"/>
        </w:rPr>
        <w:t>World Fact Book: Distribution of Faminly Income-Gini Index</w:t>
      </w:r>
      <w:r w:rsidRPr="00F33B8D">
        <w:rPr>
          <w:sz w:val="22"/>
          <w:szCs w:val="22"/>
        </w:rPr>
        <w:t>. doi:</w:t>
      </w:r>
      <w:hyperlink r:id="rId92" w:anchor="51" w:history="1">
        <w:r w:rsidRPr="00F33B8D">
          <w:rPr>
            <w:rStyle w:val="Hyperlink"/>
            <w:sz w:val="22"/>
            <w:szCs w:val="22"/>
          </w:rPr>
          <w:t>https://www.cia.gov/library/publications/resources/the-world-factbook/fields/2172.html#51</w:t>
        </w:r>
      </w:hyperlink>
    </w:p>
    <w:p w:rsidR="00F33B8D" w:rsidRPr="00F33B8D" w:rsidRDefault="00F33B8D" w:rsidP="00F33B8D">
      <w:pPr>
        <w:pStyle w:val="EndNoteBibliography"/>
        <w:ind w:left="720" w:hanging="720"/>
        <w:rPr>
          <w:sz w:val="22"/>
          <w:szCs w:val="22"/>
        </w:rPr>
      </w:pPr>
      <w:r w:rsidRPr="00F33B8D">
        <w:rPr>
          <w:sz w:val="22"/>
          <w:szCs w:val="22"/>
        </w:rPr>
        <w:t xml:space="preserve">Cummins, R. A. (2017a). </w:t>
      </w:r>
      <w:r w:rsidRPr="00F33B8D">
        <w:rPr>
          <w:i/>
          <w:sz w:val="22"/>
          <w:szCs w:val="22"/>
        </w:rPr>
        <w:t>Subjective Wellbeing Homeostasis - Second edition</w:t>
      </w:r>
      <w:r w:rsidRPr="00F33B8D">
        <w:rPr>
          <w:sz w:val="22"/>
          <w:szCs w:val="22"/>
        </w:rPr>
        <w:t xml:space="preserve">. In D. S. Dunn (Ed.), </w:t>
      </w:r>
      <w:r w:rsidRPr="00F33B8D">
        <w:rPr>
          <w:i/>
          <w:sz w:val="22"/>
          <w:szCs w:val="22"/>
        </w:rPr>
        <w:t>Oxford Bibliographies Online</w:t>
      </w:r>
      <w:r w:rsidRPr="00F33B8D">
        <w:rPr>
          <w:sz w:val="22"/>
          <w:szCs w:val="22"/>
        </w:rPr>
        <w:t xml:space="preserve">. Retrieved from </w:t>
      </w:r>
      <w:hyperlink r:id="rId93" w:history="1">
        <w:r w:rsidRPr="00F33B8D">
          <w:rPr>
            <w:rStyle w:val="Hyperlink"/>
            <w:sz w:val="22"/>
            <w:szCs w:val="22"/>
          </w:rPr>
          <w:t>http://www.oxfordbibliographies.com/view/document/obo-9780199828340/obo-9780199828340-0167.xml</w:t>
        </w:r>
      </w:hyperlink>
    </w:p>
    <w:p w:rsidR="00F33B8D" w:rsidRPr="00F33B8D" w:rsidRDefault="00F33B8D" w:rsidP="00F33B8D">
      <w:pPr>
        <w:pStyle w:val="EndNoteBibliography"/>
        <w:ind w:left="720" w:hanging="720"/>
        <w:rPr>
          <w:sz w:val="22"/>
          <w:szCs w:val="22"/>
        </w:rPr>
      </w:pPr>
      <w:r w:rsidRPr="00F33B8D">
        <w:rPr>
          <w:sz w:val="22"/>
          <w:szCs w:val="22"/>
        </w:rPr>
        <w:t xml:space="preserve">Cummins, R. A. (2019c). Wellbeing across Cultures: Issues of measurement and the interpretation of data. In K. D. Keith (Ed.), </w:t>
      </w:r>
      <w:r w:rsidRPr="00F33B8D">
        <w:rPr>
          <w:i/>
          <w:sz w:val="22"/>
          <w:szCs w:val="22"/>
        </w:rPr>
        <w:t>Cross-Cultural Psychology: Contemporary Themes &amp; Perspectives</w:t>
      </w:r>
      <w:r w:rsidRPr="00F33B8D">
        <w:rPr>
          <w:sz w:val="22"/>
          <w:szCs w:val="22"/>
        </w:rPr>
        <w:t xml:space="preserve"> (Second ed., pp. 516-530). New York: Wiley/Blackwell.</w:t>
      </w:r>
    </w:p>
    <w:p w:rsidR="00F33B8D" w:rsidRPr="00F33B8D" w:rsidRDefault="00F33B8D" w:rsidP="00F33B8D">
      <w:pPr>
        <w:pStyle w:val="EndNoteBibliography"/>
        <w:ind w:left="720" w:hanging="720"/>
        <w:rPr>
          <w:sz w:val="22"/>
          <w:szCs w:val="22"/>
        </w:rPr>
      </w:pPr>
      <w:r w:rsidRPr="00F33B8D">
        <w:rPr>
          <w:sz w:val="22"/>
          <w:szCs w:val="22"/>
        </w:rPr>
        <w:t xml:space="preserve">Gillis, J. R. (1981). </w:t>
      </w:r>
      <w:r w:rsidRPr="00F33B8D">
        <w:rPr>
          <w:i/>
          <w:sz w:val="22"/>
          <w:szCs w:val="22"/>
        </w:rPr>
        <w:t>Youth and History: Tradition and Change in European Age Relations, 1770 Present</w:t>
      </w:r>
      <w:r w:rsidRPr="00F33B8D">
        <w:rPr>
          <w:sz w:val="22"/>
          <w:szCs w:val="22"/>
        </w:rPr>
        <w:t>. New York, NY: Academic Press.</w:t>
      </w:r>
    </w:p>
    <w:p w:rsidR="00F33B8D" w:rsidRPr="00F33B8D" w:rsidRDefault="00F33B8D" w:rsidP="00F33B8D">
      <w:pPr>
        <w:pStyle w:val="EndNoteBibliography"/>
        <w:ind w:left="720" w:hanging="720"/>
        <w:rPr>
          <w:sz w:val="22"/>
          <w:szCs w:val="22"/>
        </w:rPr>
      </w:pPr>
      <w:r w:rsidRPr="00F33B8D">
        <w:rPr>
          <w:sz w:val="22"/>
          <w:szCs w:val="22"/>
        </w:rPr>
        <w:t xml:space="preserve">Greven, P. (1988). </w:t>
      </w:r>
      <w:r w:rsidRPr="00F33B8D">
        <w:rPr>
          <w:i/>
          <w:sz w:val="22"/>
          <w:szCs w:val="22"/>
        </w:rPr>
        <w:t>The Protestant Temperament: Patterns of Child-Rearing, Religious Experience, and the Self in Early America</w:t>
      </w:r>
      <w:r w:rsidRPr="00F33B8D">
        <w:rPr>
          <w:sz w:val="22"/>
          <w:szCs w:val="22"/>
        </w:rPr>
        <w:t>. Chicago: University of Chicago Press.</w:t>
      </w:r>
    </w:p>
    <w:p w:rsidR="00F33B8D" w:rsidRPr="00F33B8D" w:rsidRDefault="00F33B8D" w:rsidP="00F33B8D">
      <w:pPr>
        <w:pStyle w:val="EndNoteBibliography"/>
        <w:ind w:left="720" w:hanging="720"/>
        <w:rPr>
          <w:sz w:val="22"/>
          <w:szCs w:val="22"/>
        </w:rPr>
      </w:pPr>
      <w:r w:rsidRPr="00F33B8D">
        <w:rPr>
          <w:sz w:val="22"/>
          <w:szCs w:val="22"/>
        </w:rPr>
        <w:t xml:space="preserve">Nunn, C. (2015). </w:t>
      </w:r>
      <w:r w:rsidRPr="00F33B8D">
        <w:rPr>
          <w:i/>
          <w:sz w:val="22"/>
          <w:szCs w:val="22"/>
        </w:rPr>
        <w:t>The Value of Education; Learning for life: Global report</w:t>
      </w:r>
      <w:r w:rsidRPr="00F33B8D">
        <w:rPr>
          <w:sz w:val="22"/>
          <w:szCs w:val="22"/>
        </w:rPr>
        <w:t xml:space="preserve">. London: HSBC Holdings plc </w:t>
      </w:r>
      <w:hyperlink r:id="rId94" w:history="1">
        <w:r w:rsidRPr="00F33B8D">
          <w:rPr>
            <w:rStyle w:val="Hyperlink"/>
            <w:sz w:val="22"/>
            <w:szCs w:val="22"/>
          </w:rPr>
          <w:t>http://online.wsj.com/public/resources/documents/HSBCSurvey.pdf</w:t>
        </w:r>
      </w:hyperlink>
      <w:r w:rsidRPr="00F33B8D">
        <w:rPr>
          <w:sz w:val="22"/>
          <w:szCs w:val="22"/>
        </w:rPr>
        <w:t>.</w:t>
      </w:r>
    </w:p>
    <w:p w:rsidR="00F33B8D" w:rsidRPr="00F33B8D" w:rsidRDefault="00F33B8D" w:rsidP="00F33B8D">
      <w:pPr>
        <w:pStyle w:val="EndNoteBibliography"/>
        <w:ind w:left="720" w:hanging="720"/>
        <w:rPr>
          <w:sz w:val="22"/>
          <w:szCs w:val="22"/>
        </w:rPr>
      </w:pPr>
      <w:r w:rsidRPr="00F33B8D">
        <w:rPr>
          <w:sz w:val="22"/>
          <w:szCs w:val="22"/>
        </w:rPr>
        <w:t>Online Etymology Dictionary. (2019). Etymonline.com. Retrieved 19 Sept 2019.</w:t>
      </w:r>
    </w:p>
    <w:p w:rsidR="00F33B8D" w:rsidRPr="00F33B8D" w:rsidRDefault="00F33B8D" w:rsidP="00F33B8D">
      <w:pPr>
        <w:pStyle w:val="EndNoteBibliography"/>
        <w:ind w:left="720" w:hanging="720"/>
        <w:rPr>
          <w:sz w:val="22"/>
          <w:szCs w:val="22"/>
        </w:rPr>
      </w:pPr>
      <w:r w:rsidRPr="00F33B8D">
        <w:rPr>
          <w:sz w:val="22"/>
          <w:szCs w:val="22"/>
        </w:rPr>
        <w:t xml:space="preserve">Stearns, P. N. (2014). Obedience and emotion: A challenge in the emotional history of childhood. </w:t>
      </w:r>
      <w:r w:rsidRPr="00F33B8D">
        <w:rPr>
          <w:i/>
          <w:sz w:val="22"/>
          <w:szCs w:val="22"/>
        </w:rPr>
        <w:t>Journal of Social History, 47</w:t>
      </w:r>
      <w:r w:rsidRPr="00F33B8D">
        <w:rPr>
          <w:sz w:val="22"/>
          <w:szCs w:val="22"/>
        </w:rPr>
        <w:t xml:space="preserve">(3), 593-611. </w:t>
      </w:r>
    </w:p>
    <w:p w:rsidR="00F33B8D" w:rsidRPr="00F33B8D" w:rsidRDefault="00F33B8D" w:rsidP="00F33B8D">
      <w:pPr>
        <w:pStyle w:val="EndNoteBibliography"/>
        <w:ind w:left="720" w:hanging="720"/>
        <w:rPr>
          <w:sz w:val="22"/>
          <w:szCs w:val="22"/>
        </w:rPr>
      </w:pPr>
      <w:r w:rsidRPr="00F33B8D">
        <w:rPr>
          <w:sz w:val="22"/>
          <w:szCs w:val="22"/>
        </w:rPr>
        <w:t xml:space="preserve">Stearns, P. N. (2019). Happy Children: A Modern Emotional Commitment. </w:t>
      </w:r>
      <w:r w:rsidRPr="00F33B8D">
        <w:rPr>
          <w:i/>
          <w:sz w:val="22"/>
          <w:szCs w:val="22"/>
        </w:rPr>
        <w:t xml:space="preserve">Frontiers in psychology, 06 September 2019 </w:t>
      </w:r>
      <w:hyperlink r:id="rId95" w:history="1">
        <w:r w:rsidRPr="00F33B8D">
          <w:rPr>
            <w:rStyle w:val="Hyperlink"/>
            <w:i/>
            <w:sz w:val="22"/>
            <w:szCs w:val="22"/>
          </w:rPr>
          <w:t>https://doi.org/10.3389/fpsyg.2019.02025</w:t>
        </w:r>
      </w:hyperlink>
      <w:r w:rsidRPr="00F33B8D">
        <w:rPr>
          <w:sz w:val="22"/>
          <w:szCs w:val="22"/>
        </w:rPr>
        <w:t xml:space="preserve">. </w:t>
      </w:r>
    </w:p>
    <w:p w:rsidR="00B73A75" w:rsidRPr="00F33B8D" w:rsidRDefault="00F33B8D" w:rsidP="00411B9B">
      <w:pPr>
        <w:rPr>
          <w:rFonts w:eastAsia="PMingLiU" w:cs="Times New Roman"/>
          <w:sz w:val="20"/>
          <w:szCs w:val="20"/>
        </w:rPr>
      </w:pPr>
      <w:r w:rsidRPr="00F33B8D">
        <w:rPr>
          <w:sz w:val="22"/>
          <w:szCs w:val="22"/>
        </w:rPr>
        <w:fldChar w:fldCharType="end"/>
      </w:r>
    </w:p>
    <w:p w:rsidR="00411B9B" w:rsidRPr="00BB5D46" w:rsidRDefault="00411B9B" w:rsidP="00411B9B">
      <w:pPr>
        <w:rPr>
          <w:rFonts w:eastAsia="Arial" w:cs="Times New Roman"/>
          <w:b/>
          <w:sz w:val="28"/>
          <w:szCs w:val="28"/>
        </w:rPr>
      </w:pPr>
      <w:proofErr w:type="spellStart"/>
      <w:r w:rsidRPr="001119DC">
        <w:rPr>
          <w:rFonts w:eastAsia="Arial" w:cs="Times New Roman"/>
          <w:b/>
          <w:sz w:val="28"/>
          <w:szCs w:val="28"/>
          <w:highlight w:val="green"/>
        </w:rPr>
        <w:t>ACQol</w:t>
      </w:r>
      <w:proofErr w:type="spellEnd"/>
      <w:r w:rsidRPr="001119DC">
        <w:rPr>
          <w:rFonts w:eastAsia="Arial" w:cs="Times New Roman"/>
          <w:b/>
          <w:sz w:val="28"/>
          <w:szCs w:val="28"/>
          <w:highlight w:val="green"/>
        </w:rPr>
        <w:t xml:space="preserve"> Bulletin Vol 3/</w:t>
      </w:r>
      <w:r w:rsidR="00B73A75" w:rsidRPr="001119DC">
        <w:rPr>
          <w:rFonts w:eastAsia="Arial" w:cs="Times New Roman"/>
          <w:b/>
          <w:sz w:val="28"/>
          <w:szCs w:val="28"/>
          <w:highlight w:val="green"/>
        </w:rPr>
        <w:t>37</w:t>
      </w:r>
      <w:r w:rsidRPr="001119DC">
        <w:rPr>
          <w:rFonts w:eastAsia="Arial" w:cs="Times New Roman"/>
          <w:b/>
          <w:sz w:val="28"/>
          <w:szCs w:val="28"/>
          <w:highlight w:val="green"/>
        </w:rPr>
        <w:t xml:space="preserve">: </w:t>
      </w:r>
      <w:r w:rsidR="00B73A75" w:rsidRPr="001119DC">
        <w:rPr>
          <w:rFonts w:eastAsia="Arial" w:cs="Times New Roman"/>
          <w:b/>
          <w:sz w:val="28"/>
          <w:szCs w:val="28"/>
          <w:highlight w:val="green"/>
        </w:rPr>
        <w:t>120919</w:t>
      </w:r>
    </w:p>
    <w:p w:rsidR="00411B9B" w:rsidRPr="00BB5D46" w:rsidRDefault="00411B9B" w:rsidP="00411B9B">
      <w:pPr>
        <w:rPr>
          <w:rFonts w:eastAsia="Arial" w:cs="Times New Roman"/>
          <w:b/>
          <w:sz w:val="28"/>
          <w:szCs w:val="28"/>
        </w:rPr>
      </w:pPr>
      <w:r w:rsidRPr="00BB5D46">
        <w:rPr>
          <w:rFonts w:eastAsia="Arial" w:cs="Times New Roman"/>
          <w:b/>
          <w:sz w:val="28"/>
          <w:szCs w:val="28"/>
        </w:rPr>
        <w:t>Bulletin of the Australian Centre on Quality of Life</w:t>
      </w:r>
    </w:p>
    <w:p w:rsidR="00411B9B" w:rsidRPr="00BB5D46" w:rsidRDefault="00DF3874" w:rsidP="00411B9B">
      <w:pPr>
        <w:rPr>
          <w:rFonts w:eastAsia="Arial" w:cs="Times New Roman"/>
        </w:rPr>
      </w:pPr>
      <w:hyperlink r:id="rId96" w:history="1">
        <w:r w:rsidR="00411B9B" w:rsidRPr="00BB5D46">
          <w:rPr>
            <w:rFonts w:eastAsia="Arial" w:cs="Times New Roman"/>
            <w:color w:val="0563C1"/>
            <w:u w:val="single"/>
          </w:rPr>
          <w:t>http://www.acqol.com.au/</w:t>
        </w:r>
      </w:hyperlink>
    </w:p>
    <w:p w:rsidR="00411B9B" w:rsidRPr="00AE19B8" w:rsidRDefault="00411B9B" w:rsidP="00411B9B">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411B9B" w:rsidRPr="00BB5D46" w:rsidRDefault="00411B9B" w:rsidP="00411B9B">
      <w:pPr>
        <w:rPr>
          <w:rFonts w:eastAsia="Arial" w:cs="Times New Roman"/>
          <w:b/>
        </w:rPr>
      </w:pPr>
      <w:r w:rsidRPr="00BB5D46">
        <w:rPr>
          <w:rFonts w:eastAsia="Arial" w:cs="Times New Roman"/>
          <w:b/>
        </w:rPr>
        <w:t xml:space="preserve">Back-issues of the Bulletin are available at </w:t>
      </w:r>
      <w:hyperlink r:id="rId97" w:anchor="bulletins" w:history="1">
        <w:r w:rsidRPr="00BB5D46">
          <w:rPr>
            <w:rFonts w:eastAsia="Arial" w:cs="Times New Roman"/>
            <w:color w:val="0563C1"/>
            <w:u w:val="single"/>
          </w:rPr>
          <w:t>http://www.acqol.com.au/projects#bulletins</w:t>
        </w:r>
      </w:hyperlink>
    </w:p>
    <w:p w:rsidR="00411B9B" w:rsidRPr="00BB5D46" w:rsidRDefault="00411B9B" w:rsidP="00411B9B">
      <w:pPr>
        <w:rPr>
          <w:rFonts w:eastAsia="Arial" w:cs="Times New Roman"/>
          <w:color w:val="0563C1"/>
          <w:u w:val="single"/>
        </w:rPr>
      </w:pPr>
    </w:p>
    <w:p w:rsidR="00411B9B" w:rsidRPr="00BB5D46" w:rsidRDefault="00411B9B" w:rsidP="00411B9B">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411B9B" w:rsidRDefault="00411B9B" w:rsidP="00411B9B">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944A0A" w:rsidRDefault="00944A0A" w:rsidP="00411B9B">
      <w:pPr>
        <w:rPr>
          <w:rFonts w:eastAsia="Arial" w:cs="Times New Roman"/>
        </w:rPr>
      </w:pPr>
    </w:p>
    <w:p w:rsidR="00944A0A" w:rsidRPr="00BB5D46" w:rsidRDefault="00944A0A" w:rsidP="00944A0A">
      <w:pPr>
        <w:jc w:val="center"/>
        <w:rPr>
          <w:rFonts w:eastAsia="Arial" w:cs="Times New Roman"/>
          <w:b/>
          <w:sz w:val="32"/>
          <w:szCs w:val="32"/>
        </w:rPr>
      </w:pPr>
      <w:r w:rsidRPr="00BB5D46">
        <w:rPr>
          <w:rFonts w:eastAsia="Arial" w:cs="Times New Roman"/>
          <w:b/>
          <w:sz w:val="32"/>
          <w:szCs w:val="32"/>
        </w:rPr>
        <w:t>Paper for private study</w:t>
      </w:r>
    </w:p>
    <w:p w:rsidR="00944A0A" w:rsidRDefault="00944A0A" w:rsidP="00944A0A">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411B9B" w:rsidRDefault="00411B9B" w:rsidP="00411B9B">
      <w:pPr>
        <w:rPr>
          <w:rFonts w:eastAsia="Arial" w:cs="Times New Roman"/>
        </w:rPr>
      </w:pPr>
    </w:p>
    <w:p w:rsidR="00411B9B" w:rsidRPr="00BB5D46" w:rsidRDefault="00411B9B" w:rsidP="00411B9B">
      <w:pPr>
        <w:jc w:val="center"/>
        <w:rPr>
          <w:rFonts w:eastAsia="Arial" w:cs="Times New Roman"/>
          <w:b/>
          <w:sz w:val="32"/>
          <w:szCs w:val="32"/>
        </w:rPr>
      </w:pPr>
      <w:r>
        <w:rPr>
          <w:rFonts w:eastAsia="Arial" w:cs="Times New Roman"/>
          <w:b/>
          <w:sz w:val="32"/>
          <w:szCs w:val="32"/>
        </w:rPr>
        <w:t>Continued discussion from last week</w:t>
      </w:r>
    </w:p>
    <w:p w:rsidR="002A5B73" w:rsidRPr="002A5B73" w:rsidRDefault="002A5B73" w:rsidP="002A5B73">
      <w:pPr>
        <w:rPr>
          <w:rFonts w:eastAsia="Calibri" w:cs="Times New Roman"/>
          <w:lang w:eastAsia="en-AU"/>
        </w:rPr>
      </w:pPr>
      <w:r w:rsidRPr="002A5B73">
        <w:rPr>
          <w:rFonts w:eastAsia="Calibri" w:cs="Times New Roman"/>
          <w:i/>
          <w:lang w:eastAsia="en-AU"/>
        </w:rPr>
        <w:t>In last week’s Bulletin (3/3</w:t>
      </w:r>
      <w:r w:rsidR="00947781">
        <w:rPr>
          <w:rFonts w:eastAsia="Calibri" w:cs="Times New Roman"/>
          <w:i/>
          <w:lang w:eastAsia="en-AU"/>
        </w:rPr>
        <w:t>6</w:t>
      </w:r>
      <w:r w:rsidRPr="002A5B73">
        <w:rPr>
          <w:rFonts w:eastAsia="Calibri" w:cs="Times New Roman"/>
          <w:i/>
          <w:lang w:eastAsia="en-AU"/>
        </w:rPr>
        <w:t xml:space="preserve">: </w:t>
      </w:r>
      <w:r w:rsidR="00947781">
        <w:rPr>
          <w:rFonts w:eastAsia="Calibri" w:cs="Times New Roman"/>
          <w:i/>
          <w:lang w:eastAsia="en-AU"/>
        </w:rPr>
        <w:t>05</w:t>
      </w:r>
      <w:r w:rsidRPr="002A5B73">
        <w:rPr>
          <w:rFonts w:eastAsia="Calibri" w:cs="Times New Roman"/>
          <w:i/>
          <w:lang w:eastAsia="en-AU"/>
        </w:rPr>
        <w:t xml:space="preserve">0919) Cummins commented on </w:t>
      </w:r>
      <w:r w:rsidRPr="002A5B73">
        <w:rPr>
          <w:rFonts w:eastAsia="Calibri" w:cs="Times New Roman"/>
          <w:lang w:eastAsia="en-AU"/>
        </w:rPr>
        <w:t xml:space="preserve">Evans, J. (2017). </w:t>
      </w:r>
      <w:r w:rsidRPr="002A5B73">
        <w:rPr>
          <w:rFonts w:eastAsia="Calibri" w:cs="Times New Roman"/>
          <w:i/>
          <w:iCs/>
          <w:lang w:eastAsia="en-AU"/>
        </w:rPr>
        <w:t xml:space="preserve">The end of History and the Invention of Happiness, </w:t>
      </w:r>
      <w:proofErr w:type="spellStart"/>
      <w:r w:rsidRPr="002A5B73">
        <w:rPr>
          <w:rFonts w:eastAsia="Calibri" w:cs="Times New Roman"/>
          <w:i/>
          <w:iCs/>
          <w:lang w:eastAsia="en-AU"/>
        </w:rPr>
        <w:t>CWiPP</w:t>
      </w:r>
      <w:proofErr w:type="spellEnd"/>
      <w:r w:rsidRPr="002A5B73">
        <w:rPr>
          <w:rFonts w:eastAsia="Calibri" w:cs="Times New Roman"/>
          <w:i/>
          <w:iCs/>
          <w:lang w:eastAsia="en-AU"/>
        </w:rPr>
        <w:t xml:space="preserve"> Working Paper No.11 </w:t>
      </w:r>
      <w:r w:rsidRPr="002A5B73">
        <w:rPr>
          <w:rFonts w:eastAsia="Calibri" w:cs="Times New Roman"/>
          <w:lang w:eastAsia="en-AU"/>
        </w:rPr>
        <w:t>Sheffield: Centre for Wellbeing in Public Policy, University of Sheffield.</w:t>
      </w:r>
    </w:p>
    <w:p w:rsidR="002A5B73" w:rsidRDefault="002A5B73" w:rsidP="002A5B73">
      <w:pPr>
        <w:rPr>
          <w:rFonts w:eastAsia="Calibri" w:cs="Times New Roman"/>
          <w:i/>
          <w:lang w:val="en-US" w:eastAsia="en-AU"/>
        </w:rPr>
      </w:pPr>
      <w:r w:rsidRPr="002A5B73">
        <w:rPr>
          <w:rFonts w:eastAsia="Calibri" w:cs="Times New Roman"/>
          <w:i/>
          <w:lang w:eastAsia="en-AU"/>
        </w:rPr>
        <w:t xml:space="preserve">These earlier comments </w:t>
      </w:r>
      <w:proofErr w:type="spellStart"/>
      <w:r w:rsidRPr="002A5B73">
        <w:rPr>
          <w:rFonts w:eastAsia="Calibri" w:cs="Times New Roman"/>
          <w:i/>
          <w:lang w:eastAsia="en-AU"/>
        </w:rPr>
        <w:t>form</w:t>
      </w:r>
      <w:proofErr w:type="spellEnd"/>
      <w:r w:rsidRPr="002A5B73">
        <w:rPr>
          <w:rFonts w:eastAsia="Calibri" w:cs="Times New Roman"/>
          <w:i/>
          <w:lang w:eastAsia="en-AU"/>
        </w:rPr>
        <w:t xml:space="preserve"> the first attached document. Points for discussion arising from this document, contributed by </w:t>
      </w:r>
      <w:r w:rsidRPr="002A5B73">
        <w:rPr>
          <w:rFonts w:eastAsia="Calibri" w:cs="Times New Roman"/>
          <w:lang w:val="en-US" w:eastAsia="en-AU"/>
        </w:rPr>
        <w:t>Mark Fabian &lt;</w:t>
      </w:r>
      <w:hyperlink r:id="rId98" w:history="1">
        <w:r w:rsidRPr="002A5B73">
          <w:rPr>
            <w:rFonts w:eastAsia="Calibri" w:cs="Times New Roman"/>
            <w:color w:val="0563C1"/>
            <w:u w:val="single"/>
            <w:lang w:val="en-US" w:eastAsia="en-AU"/>
          </w:rPr>
          <w:t>mark.otto.fabian@gmail.com</w:t>
        </w:r>
      </w:hyperlink>
      <w:r w:rsidRPr="002A5B73">
        <w:rPr>
          <w:rFonts w:eastAsia="Calibri" w:cs="Times New Roman"/>
          <w:lang w:val="en-US" w:eastAsia="en-AU"/>
        </w:rPr>
        <w:t xml:space="preserve">&gt;, </w:t>
      </w:r>
      <w:r w:rsidRPr="002A5B73">
        <w:rPr>
          <w:rFonts w:eastAsia="Calibri" w:cs="Times New Roman"/>
          <w:i/>
          <w:lang w:val="en-US" w:eastAsia="en-AU"/>
        </w:rPr>
        <w:t>and Cummins’ rejoinder</w:t>
      </w:r>
      <w:r>
        <w:rPr>
          <w:rFonts w:eastAsia="Calibri" w:cs="Times New Roman"/>
          <w:i/>
          <w:lang w:val="en-US" w:eastAsia="en-AU"/>
        </w:rPr>
        <w:t>s</w:t>
      </w:r>
      <w:r w:rsidRPr="002A5B73">
        <w:rPr>
          <w:rFonts w:eastAsia="Calibri" w:cs="Times New Roman"/>
          <w:i/>
          <w:lang w:val="en-US" w:eastAsia="en-AU"/>
        </w:rPr>
        <w:t>, follow:</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u w:val="single"/>
          <w:lang w:eastAsia="en-AU"/>
        </w:rPr>
      </w:pPr>
      <w:r w:rsidRPr="002A5B73">
        <w:rPr>
          <w:rFonts w:eastAsia="Calibri" w:cs="Times New Roman"/>
          <w:lang w:eastAsia="en-AU"/>
        </w:rPr>
        <w:t>[</w:t>
      </w:r>
      <w:r w:rsidRPr="002A5B73">
        <w:rPr>
          <w:rFonts w:eastAsia="Calibri" w:cs="Times New Roman"/>
          <w:u w:val="single"/>
          <w:lang w:eastAsia="en-AU"/>
        </w:rPr>
        <w:t xml:space="preserve">Note from Cummins: I have chosen to reply to six points in </w:t>
      </w:r>
      <w:r w:rsidR="00947781">
        <w:rPr>
          <w:rFonts w:eastAsia="Calibri" w:cs="Times New Roman"/>
          <w:u w:val="single"/>
          <w:lang w:eastAsia="en-AU"/>
        </w:rPr>
        <w:t>Fabian’s</w:t>
      </w:r>
      <w:r w:rsidRPr="002A5B73">
        <w:rPr>
          <w:rFonts w:eastAsia="Calibri" w:cs="Times New Roman"/>
          <w:u w:val="single"/>
          <w:lang w:eastAsia="en-AU"/>
        </w:rPr>
        <w:t xml:space="preserve"> text. The </w:t>
      </w:r>
      <w:r w:rsidR="00947781">
        <w:rPr>
          <w:rFonts w:eastAsia="Calibri" w:cs="Times New Roman"/>
          <w:u w:val="single"/>
          <w:lang w:eastAsia="en-AU"/>
        </w:rPr>
        <w:t xml:space="preserve">precise </w:t>
      </w:r>
      <w:r w:rsidRPr="002A5B73">
        <w:rPr>
          <w:rFonts w:eastAsia="Calibri" w:cs="Times New Roman"/>
          <w:u w:val="single"/>
          <w:lang w:eastAsia="en-AU"/>
        </w:rPr>
        <w:t>text to which each reply is directed, has been underlined]</w:t>
      </w:r>
    </w:p>
    <w:p w:rsidR="002A5B73" w:rsidRPr="002A5B73" w:rsidRDefault="002A5B73" w:rsidP="002A5B73">
      <w:pPr>
        <w:rPr>
          <w:rFonts w:eastAsia="Calibri" w:cs="Times New Roman"/>
          <w:lang w:val="en-US" w:eastAsia="en-AU"/>
        </w:rPr>
      </w:pPr>
    </w:p>
    <w:p w:rsidR="002A5B73" w:rsidRPr="002A5B73" w:rsidRDefault="002A5B73" w:rsidP="002A5B73">
      <w:pPr>
        <w:rPr>
          <w:rFonts w:eastAsia="Calibri" w:cs="Times New Roman"/>
          <w:lang w:val="en-US" w:eastAsia="en-AU"/>
        </w:rPr>
      </w:pPr>
    </w:p>
    <w:p w:rsidR="002A5B73" w:rsidRPr="002A5B73" w:rsidRDefault="002A5B73" w:rsidP="002A5B73">
      <w:pPr>
        <w:rPr>
          <w:rFonts w:eastAsia="Calibri" w:cs="Times New Roman"/>
          <w:lang w:eastAsia="en-AU"/>
        </w:rPr>
      </w:pPr>
      <w:r w:rsidRPr="002A5B73">
        <w:rPr>
          <w:rFonts w:eastAsia="Calibri" w:cs="Times New Roman"/>
          <w:lang w:val="en-US" w:eastAsia="en-AU"/>
        </w:rPr>
        <w:t>Mark Fabian &lt;</w:t>
      </w:r>
      <w:hyperlink r:id="rId99" w:history="1">
        <w:r w:rsidRPr="002A5B73">
          <w:rPr>
            <w:rFonts w:eastAsia="Calibri" w:cs="Times New Roman"/>
            <w:color w:val="0563C1"/>
            <w:u w:val="single"/>
            <w:lang w:val="en-US" w:eastAsia="en-AU"/>
          </w:rPr>
          <w:t>mark.otto.fabian@gmail.com</w:t>
        </w:r>
      </w:hyperlink>
      <w:r w:rsidRPr="002A5B73">
        <w:rPr>
          <w:rFonts w:eastAsia="Calibri" w:cs="Times New Roman"/>
          <w:lang w:val="en-US" w:eastAsia="en-AU"/>
        </w:rPr>
        <w:t>&gt;</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u w:val="single"/>
          <w:lang w:eastAsia="en-AU"/>
        </w:rPr>
      </w:pPr>
      <w:r w:rsidRPr="002A5B73">
        <w:rPr>
          <w:rFonts w:eastAsia="Calibri" w:cs="Times New Roman"/>
          <w:lang w:eastAsia="en-AU"/>
        </w:rPr>
        <w:lastRenderedPageBreak/>
        <w:t xml:space="preserve">I have to completely disagree with your comments in today's </w:t>
      </w:r>
      <w:proofErr w:type="spellStart"/>
      <w:r w:rsidRPr="002A5B73">
        <w:rPr>
          <w:rFonts w:eastAsia="Calibri" w:cs="Times New Roman"/>
          <w:lang w:eastAsia="en-AU"/>
        </w:rPr>
        <w:t>ACQoL</w:t>
      </w:r>
      <w:proofErr w:type="spellEnd"/>
      <w:r w:rsidRPr="002A5B73">
        <w:rPr>
          <w:rFonts w:eastAsia="Calibri" w:cs="Times New Roman"/>
          <w:lang w:eastAsia="en-AU"/>
        </w:rPr>
        <w:t xml:space="preserve"> newsletter [</w:t>
      </w:r>
      <w:proofErr w:type="spellStart"/>
      <w:r w:rsidRPr="002A5B73">
        <w:rPr>
          <w:rFonts w:eastAsia="Calibri" w:cs="Times New Roman"/>
          <w:lang w:eastAsia="en-AU"/>
        </w:rPr>
        <w:t>ACQol</w:t>
      </w:r>
      <w:proofErr w:type="spellEnd"/>
      <w:r w:rsidRPr="002A5B73">
        <w:rPr>
          <w:rFonts w:eastAsia="Calibri" w:cs="Times New Roman"/>
          <w:lang w:eastAsia="en-AU"/>
        </w:rPr>
        <w:t xml:space="preserve"> Bulletin, 3/3</w:t>
      </w:r>
      <w:r w:rsidR="00947781">
        <w:rPr>
          <w:rFonts w:eastAsia="Calibri" w:cs="Times New Roman"/>
          <w:lang w:eastAsia="en-AU"/>
        </w:rPr>
        <w:t>6</w:t>
      </w:r>
      <w:r w:rsidRPr="002A5B73">
        <w:rPr>
          <w:rFonts w:eastAsia="Calibri" w:cs="Times New Roman"/>
          <w:lang w:eastAsia="en-AU"/>
        </w:rPr>
        <w:t xml:space="preserve">, </w:t>
      </w:r>
      <w:r w:rsidR="00947781">
        <w:rPr>
          <w:rFonts w:eastAsia="Calibri" w:cs="Times New Roman"/>
          <w:lang w:eastAsia="en-AU"/>
        </w:rPr>
        <w:t>05</w:t>
      </w:r>
      <w:r w:rsidRPr="002A5B73">
        <w:rPr>
          <w:rFonts w:eastAsia="Calibri" w:cs="Times New Roman"/>
          <w:lang w:eastAsia="en-AU"/>
        </w:rPr>
        <w:t xml:space="preserve">0919]. Philosophical discussion is integral to the construct validation process that underpins psychometric data. Ironically, </w:t>
      </w:r>
      <w:proofErr w:type="spellStart"/>
      <w:r w:rsidRPr="002A5B73">
        <w:rPr>
          <w:rFonts w:eastAsia="Calibri" w:cs="Times New Roman"/>
          <w:u w:val="single"/>
          <w:lang w:eastAsia="en-AU"/>
        </w:rPr>
        <w:t>Alexandrova</w:t>
      </w:r>
      <w:proofErr w:type="spellEnd"/>
      <w:r w:rsidRPr="002A5B73">
        <w:rPr>
          <w:rFonts w:eastAsia="Calibri" w:cs="Times New Roman"/>
          <w:u w:val="single"/>
          <w:lang w:eastAsia="en-AU"/>
        </w:rPr>
        <w:t xml:space="preserve"> has compellingly argued in her </w:t>
      </w:r>
      <w:r w:rsidRPr="002A5B73">
        <w:rPr>
          <w:rFonts w:eastAsia="Calibri" w:cs="Times New Roman"/>
          <w:i/>
          <w:iCs/>
          <w:u w:val="single"/>
          <w:lang w:eastAsia="en-AU"/>
        </w:rPr>
        <w:t xml:space="preserve">A Philosophy for the Science of Wellbeing </w:t>
      </w:r>
      <w:r w:rsidRPr="002A5B73">
        <w:rPr>
          <w:rFonts w:eastAsia="Calibri" w:cs="Times New Roman"/>
          <w:u w:val="single"/>
          <w:lang w:eastAsia="en-AU"/>
        </w:rPr>
        <w:t>that</w:t>
      </w:r>
      <w:r w:rsidRPr="002A5B73">
        <w:rPr>
          <w:rFonts w:eastAsia="Calibri" w:cs="Times New Roman"/>
          <w:i/>
          <w:iCs/>
          <w:u w:val="single"/>
          <w:lang w:eastAsia="en-AU"/>
        </w:rPr>
        <w:t> </w:t>
      </w:r>
      <w:r w:rsidRPr="002A5B73">
        <w:rPr>
          <w:rFonts w:eastAsia="Calibri" w:cs="Times New Roman"/>
          <w:u w:val="single"/>
          <w:lang w:eastAsia="en-AU"/>
        </w:rPr>
        <w:t xml:space="preserve">the construct validation exercises that have been conducted in support of SWB measures are not logically sound precisely because they skipped the philosophy that is necessary to generate the theoretical priors that a construct is meant to correspond to (see also </w:t>
      </w:r>
      <w:proofErr w:type="spellStart"/>
      <w:r w:rsidRPr="002A5B73">
        <w:rPr>
          <w:rFonts w:eastAsia="Calibri" w:cs="Times New Roman"/>
          <w:u w:val="single"/>
          <w:lang w:eastAsia="en-AU"/>
        </w:rPr>
        <w:t>Alexandrova</w:t>
      </w:r>
      <w:proofErr w:type="spellEnd"/>
      <w:r w:rsidRPr="002A5B73">
        <w:rPr>
          <w:rFonts w:eastAsia="Calibri" w:cs="Times New Roman"/>
          <w:u w:val="single"/>
          <w:lang w:eastAsia="en-AU"/>
        </w:rPr>
        <w:t xml:space="preserve"> and </w:t>
      </w:r>
      <w:proofErr w:type="spellStart"/>
      <w:r w:rsidRPr="002A5B73">
        <w:rPr>
          <w:rFonts w:eastAsia="Calibri" w:cs="Times New Roman"/>
          <w:u w:val="single"/>
          <w:lang w:eastAsia="en-AU"/>
        </w:rPr>
        <w:t>Haybron</w:t>
      </w:r>
      <w:proofErr w:type="spellEnd"/>
      <w:r w:rsidRPr="002A5B73">
        <w:rPr>
          <w:rFonts w:eastAsia="Calibri" w:cs="Times New Roman"/>
          <w:u w:val="single"/>
          <w:lang w:eastAsia="en-AU"/>
        </w:rPr>
        <w:t xml:space="preserve"> "Is Construct Validation Valid?" in </w:t>
      </w:r>
      <w:r w:rsidRPr="002A5B73">
        <w:rPr>
          <w:rFonts w:eastAsia="Calibri" w:cs="Times New Roman"/>
          <w:i/>
          <w:iCs/>
          <w:u w:val="single"/>
          <w:lang w:eastAsia="en-AU"/>
        </w:rPr>
        <w:t>Philosophy of Science</w:t>
      </w:r>
      <w:r w:rsidRPr="002A5B73">
        <w:rPr>
          <w:rFonts w:eastAsia="Calibri" w:cs="Times New Roman"/>
          <w:u w:val="single"/>
          <w:lang w:eastAsia="en-AU"/>
        </w:rPr>
        <w:t xml:space="preserve">, vol. 83, no. 5). </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i/>
          <w:lang w:eastAsia="en-AU"/>
        </w:rPr>
      </w:pPr>
      <w:r w:rsidRPr="002A5B73">
        <w:rPr>
          <w:rFonts w:eastAsia="Calibri" w:cs="Times New Roman"/>
          <w:i/>
          <w:u w:val="single"/>
          <w:lang w:eastAsia="en-AU"/>
        </w:rPr>
        <w:t>1. Cummins:</w:t>
      </w:r>
      <w:r w:rsidRPr="002A5B73">
        <w:rPr>
          <w:rFonts w:eastAsia="Calibri" w:cs="Times New Roman"/>
          <w:i/>
          <w:lang w:eastAsia="en-AU"/>
        </w:rPr>
        <w:t xml:space="preserve"> It is unfortunate that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 AuthorYear="1"&gt;&lt;Author&gt;Alexandrova&lt;/Author&gt;&lt;Year&gt;2016&lt;/Year&gt;&lt;RecNum&gt;3921&lt;/RecNum&gt;&lt;DisplayText&gt;Alexandrova and Haybron (2016)&lt;/DisplayText&gt;&lt;record&gt;&lt;rec-number&gt;3921&lt;/rec-number&gt;&lt;foreign-keys&gt;&lt;key app="EN" db-id="z2xarpe9cfrvp4ezdxk5ddx9dsrzr05f22sa" timestamp="1567825171"&gt;3921&lt;/key&gt;&lt;/foreign-keys&gt;&lt;ref-type name="Journal Article"&gt;17&lt;/ref-type&gt;&lt;contributors&gt;&lt;authors&gt;&lt;author&gt;Alexandrova, A.&lt;/author&gt;&lt;author&gt;Haybron, Daniel M&lt;/author&gt;&lt;/authors&gt;&lt;/contributors&gt;&lt;titles&gt;&lt;title&gt;Is construct validation valid?&lt;/title&gt;&lt;secondary-title&gt;Philosophy of Science&lt;/secondary-title&gt;&lt;/titles&gt;&lt;periodical&gt;&lt;full-title&gt;Philosophy of Science&lt;/full-title&gt;&lt;/periodical&gt;&lt;pages&gt;1098-1109&lt;/pages&gt;&lt;volume&gt;83&lt;/volume&gt;&lt;number&gt;5&lt;/number&gt;&lt;dates&gt;&lt;year&gt;2016&lt;/year&gt;&lt;/dates&gt;&lt;isbn&gt;0031-8248&lt;/isbn&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Alexandrova and Haybron (2016)</w:t>
      </w:r>
      <w:r w:rsidRPr="002A5B73">
        <w:rPr>
          <w:rFonts w:eastAsia="Calibri" w:cs="Times New Roman"/>
          <w:i/>
          <w:lang w:eastAsia="en-AU"/>
        </w:rPr>
        <w:fldChar w:fldCharType="end"/>
      </w:r>
      <w:r w:rsidRPr="002A5B73">
        <w:rPr>
          <w:rFonts w:eastAsia="Calibri" w:cs="Times New Roman"/>
          <w:i/>
          <w:lang w:eastAsia="en-AU"/>
        </w:rPr>
        <w:t xml:space="preserve"> is being used as an example of the dangers of ‘skipping philosophy’. It might be better employed as an example of poor scholarship. The authors have cited, and misrepresented, a classic paper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&lt;EndNote&gt;&lt;Cite&gt;&lt;Author&gt;Cronbach&lt;/Author&gt;&lt;Year&gt;1955&lt;/Year&gt;&lt;RecNum&gt;3028&lt;/RecNum&gt;&lt;DisplayText&gt;(Cronbach &amp;amp; Meehl, 1955)&lt;/DisplayText&gt;&lt;record&gt;&lt;rec-number&gt;3028&lt;/rec-number&gt;&lt;foreign-keys&gt;&lt;key app="EN" db-id="z2xarpe9cfrvp4ezdxk5ddx9dsrzr05f22sa" timestamp="1494047922"&gt;3028&lt;/key&gt;&lt;/foreign-keys&gt;&lt;ref-type name="Journal Article"&gt;17&lt;/ref-type&gt;&lt;contributors&gt;&lt;authors&gt;&lt;author&gt;Cronbach, L. J.&lt;/author&gt;&lt;author&gt;Meehl, Paul E&lt;/author&gt;&lt;/authors&gt;&lt;/contributors&gt;&lt;titles&gt;&lt;title&gt;Construct validity in psychological tests&lt;/title&gt;&lt;secondary-title&gt;Psychological bulletin&lt;/secondary-title&gt;&lt;/titles&gt;&lt;periodical&gt;&lt;full-title&gt;Psychological Bulletin&lt;/full-title&gt;&lt;/periodical&gt;&lt;pages&gt;281-302&lt;/pages&gt;&lt;volume&gt;52&lt;/volume&gt;&lt;number&gt;4&lt;/number&gt;&lt;dates&gt;&lt;year&gt;1955&lt;/year&gt;&lt;/dates&gt;&lt;isbn&gt;1939-1455&lt;/isbn&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(Cronbach &amp; Meehl, 1955)</w:t>
      </w:r>
      <w:r w:rsidRPr="002A5B73">
        <w:rPr>
          <w:rFonts w:eastAsia="Calibri" w:cs="Times New Roman"/>
          <w:i/>
          <w:lang w:eastAsia="en-AU"/>
        </w:rPr>
        <w:fldChar w:fldCharType="end"/>
      </w:r>
      <w:r w:rsidRPr="002A5B73">
        <w:rPr>
          <w:rFonts w:eastAsia="Calibri" w:cs="Times New Roman"/>
          <w:i/>
          <w:lang w:eastAsia="en-AU"/>
        </w:rPr>
        <w:t>, thereby setting-up a straw-man, which they</w:t>
      </w:r>
      <w:r w:rsidR="00B60491">
        <w:rPr>
          <w:rFonts w:eastAsia="Calibri" w:cs="Times New Roman"/>
          <w:i/>
          <w:lang w:eastAsia="en-AU"/>
        </w:rPr>
        <w:t xml:space="preserve"> proceed to</w:t>
      </w:r>
      <w:r w:rsidRPr="002A5B73">
        <w:rPr>
          <w:rFonts w:eastAsia="Calibri" w:cs="Times New Roman"/>
          <w:i/>
          <w:lang w:eastAsia="en-AU"/>
        </w:rPr>
        <w:t xml:space="preserve"> destroy. It is widely agreed within psychological science that the three processes required for construct validation, presented by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 AuthorYear="1"&gt;&lt;Author&gt;Cronbach&lt;/Author&gt;&lt;Year&gt;1955&lt;/Year&gt;&lt;RecNum&gt;3028&lt;/RecNum&gt;&lt;DisplayText&gt;Cronbach and Meehl (1955)&lt;/DisplayText&gt;&lt;record&gt;&lt;rec-number&gt;3028&lt;/rec-number&gt;&lt;foreign-keys&gt;&lt;key app="EN" db-id="z2xarpe9cfrvp4ezdxk5ddx9dsrzr05f22sa" timestamp="1494047922"&gt;3028&lt;/key&gt;&lt;/foreign-keys&gt;&lt;ref-type name="Journal Article"&gt;17&lt;/ref-type&gt;&lt;contributors&gt;&lt;authors&gt;&lt;author&gt;Cronbach, L. J.&lt;/author&gt;&lt;author&gt;Meehl, Paul E&lt;/author&gt;&lt;/authors&gt;&lt;/contributors&gt;&lt;titles&gt;&lt;title&gt;Construct validity in psychological tests&lt;/title&gt;&lt;secondary-title&gt;Psychological bulletin&lt;/secondary-title&gt;&lt;/titles&gt;&lt;periodical&gt;&lt;full-title&gt;Psychological Bulletin&lt;/full-title&gt;&lt;/periodical&gt;&lt;pages&gt;281-302&lt;/pages&gt;&lt;volume&gt;52&lt;/volume&gt;&lt;number&gt;4&lt;/number&gt;&lt;dates&gt;&lt;year&gt;1955&lt;/year&gt;&lt;/dates&gt;&lt;isbn&gt;1939-1455&lt;/isbn&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Cronbach and Meehl (1955)</w:t>
      </w:r>
      <w:r w:rsidRPr="002A5B73">
        <w:rPr>
          <w:rFonts w:eastAsia="Calibri" w:cs="Times New Roman"/>
          <w:i/>
          <w:lang w:eastAsia="en-AU"/>
        </w:rPr>
        <w:fldChar w:fldCharType="end"/>
      </w:r>
      <w:r w:rsidRPr="002A5B73">
        <w:rPr>
          <w:rFonts w:eastAsia="Calibri" w:cs="Times New Roman"/>
          <w:i/>
          <w:lang w:eastAsia="en-AU"/>
        </w:rPr>
        <w:t xml:space="preserve"> are: (a) Factor analysis; (b) Convergent validity; (c) Discriminant validity.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 AuthorYear="1"&gt;&lt;Author&gt;Alexandrova&lt;/Author&gt;&lt;Year&gt;2016&lt;/Year&gt;&lt;RecNum&gt;3921&lt;/RecNum&gt;&lt;DisplayText&gt;Alexandrova and Haybron (2016)&lt;/DisplayText&gt;&lt;record&gt;&lt;rec-number&gt;3921&lt;/rec-number&gt;&lt;foreign-keys&gt;&lt;key app="EN" db-id="z2xarpe9cfrvp4ezdxk5ddx9dsrzr05f22sa" timestamp="1567825171"&gt;3921&lt;/key&gt;&lt;/foreign-keys&gt;&lt;ref-type name="Journal Article"&gt;17&lt;/ref-type&gt;&lt;contributors&gt;&lt;authors&gt;&lt;author&gt;Alexandrova, A.&lt;/author&gt;&lt;author&gt;Haybron, Daniel M&lt;/author&gt;&lt;/authors&gt;&lt;/contributors&gt;&lt;titles&gt;&lt;title&gt;Is construct validation valid?&lt;/title&gt;&lt;secondary-title&gt;Philosophy of Science&lt;/secondary-title&gt;&lt;/titles&gt;&lt;periodical&gt;&lt;full-title&gt;Philosophy of Science&lt;/full-title&gt;&lt;/periodical&gt;&lt;pages&gt;1098-1109&lt;/pages&gt;&lt;volume&gt;83&lt;/volume&gt;&lt;number&gt;5&lt;/number&gt;&lt;dates&gt;&lt;year&gt;2016&lt;/year&gt;&lt;/dates&gt;&lt;isbn&gt;0031-8248&lt;/isbn&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Alexandrova and Haybron (2016)</w:t>
      </w:r>
      <w:r w:rsidRPr="002A5B73">
        <w:rPr>
          <w:rFonts w:eastAsia="Calibri" w:cs="Times New Roman"/>
          <w:i/>
          <w:lang w:eastAsia="en-AU"/>
        </w:rPr>
        <w:fldChar w:fldCharType="end"/>
      </w:r>
      <w:r w:rsidRPr="002A5B73">
        <w:rPr>
          <w:rFonts w:eastAsia="Calibri" w:cs="Times New Roman"/>
          <w:i/>
          <w:lang w:eastAsia="en-AU"/>
        </w:rPr>
        <w:t xml:space="preserve"> employ only (a) and (b), to then conclude “the practice of construct validation in well-being research is theory avoidant, </w:t>
      </w:r>
      <w:proofErr w:type="spellStart"/>
      <w:r w:rsidRPr="002A5B73">
        <w:rPr>
          <w:rFonts w:eastAsia="Calibri" w:cs="Times New Roman"/>
          <w:i/>
          <w:lang w:eastAsia="en-AU"/>
        </w:rPr>
        <w:t>favoring</w:t>
      </w:r>
      <w:proofErr w:type="spellEnd"/>
      <w:r w:rsidRPr="002A5B73">
        <w:rPr>
          <w:rFonts w:eastAsia="Calibri" w:cs="Times New Roman"/>
          <w:i/>
          <w:lang w:eastAsia="en-AU"/>
        </w:rPr>
        <w:t xml:space="preserve"> a narrow focus on statistical tests while largely ignoring relevant philosophical considerations” (abstract). They have created their straw-man by omitting the critical criterion for construct validity, which is (c) Discriminant validity; the extent to which a scale measures its targeted construct, rather than an extraneous construct. The value of discriminant validity, in separating the variance simultaneously contributed by multiple variables to measures of subjective wellbeing, has been a feature of our research </w:t>
      </w:r>
      <w:r w:rsidRPr="002A5B73">
        <w:rPr>
          <w:rFonts w:eastAsia="Calibri" w:cs="Times New Roman"/>
          <w:i/>
          <w:lang w:eastAsia="en-AU"/>
        </w:rPr>
        <w:fldChar w:fldCharType="begin"/>
      </w:r>
      <w:r w:rsidR="00EC435A">
        <w:rPr>
          <w:rFonts w:eastAsia="Calibri" w:cs="Times New Roman"/>
          <w:i/>
          <w:lang w:eastAsia="en-AU"/>
        </w:rPr>
        <w:instrText xml:space="preserve"> ADDIN EN.CITE &lt;EndNote&gt;&lt;Cite&gt;&lt;Author&gt;Davern&lt;/Author&gt;&lt;Year&gt;2007&lt;/Year&gt;&lt;RecNum&gt;312&lt;/RecNum&gt;&lt;Prefix&gt;e.g. &lt;/Prefix&gt;&lt;DisplayText&gt;(e.g. Cummins et al., 2018; Davern et al., 2007)&lt;/DisplayText&gt;&lt;record&gt;&lt;rec-number&gt;312&lt;/rec-number&gt;&lt;foreign-keys&gt;&lt;key app="EN" db-id="z2xarpe9cfrvp4ezdxk5ddx9dsrzr05f22sa" timestamp="1343947741"&gt;312&lt;/key&gt;&lt;/foreign-keys&gt;&lt;ref-type name="Journal Article"&gt;17&lt;/ref-type&gt;&lt;contributors&gt;&lt;authors&gt;&lt;author&gt;Davern, M.&lt;/author&gt;&lt;author&gt;Cummins, R. A.&lt;/author&gt;&lt;author&gt;Stokes, M.&lt;/author&gt;&lt;/authors&gt;&lt;/contributors&gt;&lt;titles&gt;&lt;title&gt;Subjective wellbeing as an affective/cognitive construct&lt;/title&gt;&lt;secondary-title&gt;Journal of Happiness Studies&lt;/secondary-title&gt;&lt;/titles&gt;&lt;periodical&gt;&lt;full-title&gt;Journal of Happiness Studies&lt;/full-title&gt;&lt;/periodical&gt;&lt;pages&gt;429-449&lt;/pages&gt;&lt;volume&gt;8&lt;/volume&gt;&lt;number&gt;4&lt;/number&gt;&lt;dates&gt;&lt;year&gt;2007&lt;/year&gt;&lt;/dates&gt;&lt;urls&gt;&lt;/urls&gt;&lt;electronic-resource-num&gt;10.1007/s10902-007-9066-1&lt;/electronic-resource-num&gt;&lt;/record&gt;&lt;/Cite&gt;&lt;Cite&gt;&lt;Author&gt;Cummins&lt;/Author&gt;&lt;Year&gt;2018&lt;/Year&gt;&lt;RecNum&gt;2895&lt;/RecNum&gt;&lt;record&gt;&lt;rec-number&gt;2895&lt;/rec-number&gt;&lt;foreign-keys&gt;&lt;key app="EN" db-id="z2xarpe9cfrvp4ezdxk5ddx9dsrzr05f22sa" timestamp="1486353818"&gt;2895&lt;/key&gt;&lt;/foreign-keys&gt;&lt;ref-type name="Journal Article"&gt;17&lt;/ref-type&gt;&lt;contributors&gt;&lt;authors&gt;&lt;author&gt;Cummins, R. A.&lt;/author&gt;&lt;author&gt;Capic, T.&lt;/author&gt;&lt;author&gt;Hutchinson, D.&lt;/author&gt;&lt;author&gt;Fuller-Tyszkiewicz, M.&lt;/author&gt;&lt;author&gt;Olsson, C. A.&lt;/author&gt;&lt;author&gt;Richardson, B.&lt;/author&gt;&lt;/authors&gt;&lt;/contributors&gt;&lt;titles&gt;&lt;title&gt;Why self-report variables inter-correlate: The role of Homeostatically Protected Mood&lt;/title&gt;&lt;secondary-title&gt;Journal of Wellbeing Assessment&lt;/secondary-title&gt;&lt;/titles&gt;&lt;periodical&gt;&lt;full-title&gt;Journal of Wellbeing Assessment&lt;/full-title&gt;&lt;/periodical&gt;&lt;pages&gt;93-114&lt;/pages&gt;&lt;volume&gt;2&lt;/volume&gt;&lt;dates&gt;&lt;year&gt;2018&lt;/year&gt;&lt;/dates&gt;&lt;urls&gt;&lt;/urls&gt;&lt;electronic-resource-num&gt;10.1007/s41543-018-0014-0&lt;/electronic-resource-num&gt;&lt;/record&gt;&lt;/Cite&gt;&lt;/EndNote&gt;</w:instrText>
      </w:r>
      <w:r w:rsidRPr="002A5B73">
        <w:rPr>
          <w:rFonts w:eastAsia="Calibri" w:cs="Times New Roman"/>
          <w:i/>
          <w:lang w:eastAsia="en-AU"/>
        </w:rPr>
        <w:fldChar w:fldCharType="separate"/>
      </w:r>
      <w:r w:rsidR="00EC435A">
        <w:rPr>
          <w:rFonts w:eastAsia="Calibri" w:cs="Times New Roman"/>
          <w:i/>
          <w:noProof/>
          <w:lang w:eastAsia="en-AU"/>
        </w:rPr>
        <w:t>(e.g. Cummins et al., 2018; Davern et al., 2007)</w:t>
      </w:r>
      <w:r w:rsidRPr="002A5B73">
        <w:rPr>
          <w:rFonts w:eastAsia="Calibri" w:cs="Times New Roman"/>
          <w:i/>
          <w:lang w:eastAsia="en-AU"/>
        </w:rPr>
        <w:fldChar w:fldCharType="end"/>
      </w:r>
      <w:r w:rsidRPr="002A5B73">
        <w:rPr>
          <w:rFonts w:eastAsia="Calibri" w:cs="Times New Roman"/>
          <w:i/>
          <w:lang w:eastAsia="en-AU"/>
        </w:rPr>
        <w:t>.</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u w:val="single"/>
          <w:lang w:eastAsia="en-AU"/>
        </w:rPr>
      </w:pPr>
      <w:r w:rsidRPr="002A5B73">
        <w:rPr>
          <w:rFonts w:eastAsia="Calibri" w:cs="Times New Roman"/>
          <w:b/>
          <w:u w:val="single"/>
          <w:lang w:eastAsia="en-AU"/>
        </w:rPr>
        <w:t>Fabian:</w:t>
      </w:r>
      <w:r w:rsidRPr="002A5B73">
        <w:rPr>
          <w:rFonts w:eastAsia="Calibri" w:cs="Times New Roman"/>
          <w:u w:val="single"/>
          <w:lang w:eastAsia="en-AU"/>
        </w:rPr>
        <w:t xml:space="preserve"> One of the most common critiques of the SWB literature is that it is theoretically lightweight (to be fair, this is understandable in its historical context) and omits many items that large numbers of scholars across multiple disciplines think properly belong in any concept of wellbeing, notably existential concerns like meaning and </w:t>
      </w:r>
      <w:proofErr w:type="spellStart"/>
      <w:r w:rsidRPr="002A5B73">
        <w:rPr>
          <w:rFonts w:eastAsia="Calibri" w:cs="Times New Roman"/>
          <w:u w:val="single"/>
          <w:lang w:eastAsia="en-AU"/>
        </w:rPr>
        <w:t>eudaimonic</w:t>
      </w:r>
      <w:proofErr w:type="spellEnd"/>
      <w:r w:rsidRPr="002A5B73">
        <w:rPr>
          <w:rFonts w:eastAsia="Calibri" w:cs="Times New Roman"/>
          <w:u w:val="single"/>
          <w:lang w:eastAsia="en-AU"/>
        </w:rPr>
        <w:t xml:space="preserve"> concerns like basic need satisfaction.</w:t>
      </w:r>
    </w:p>
    <w:p w:rsidR="002A5B73" w:rsidRPr="002A5B73" w:rsidRDefault="002A5B73" w:rsidP="002A5B73">
      <w:pPr>
        <w:rPr>
          <w:rFonts w:eastAsia="Calibri" w:cs="Times New Roman"/>
          <w:u w:val="single"/>
          <w:lang w:eastAsia="en-AU"/>
        </w:rPr>
      </w:pPr>
    </w:p>
    <w:p w:rsidR="002A5B73" w:rsidRPr="002A5B73" w:rsidRDefault="002A5B73" w:rsidP="002A5B73">
      <w:pPr>
        <w:rPr>
          <w:rFonts w:eastAsia="Calibri" w:cs="Times New Roman"/>
          <w:i/>
          <w:lang w:eastAsia="en-AU"/>
        </w:rPr>
      </w:pPr>
      <w:r w:rsidRPr="002A5B73">
        <w:rPr>
          <w:rFonts w:eastAsia="Calibri" w:cs="Times New Roman"/>
          <w:i/>
          <w:u w:val="single"/>
          <w:lang w:eastAsia="en-AU"/>
        </w:rPr>
        <w:t>2. Cummins:</w:t>
      </w:r>
      <w:r w:rsidRPr="002A5B73">
        <w:rPr>
          <w:rFonts w:eastAsia="Calibri" w:cs="Times New Roman"/>
          <w:i/>
          <w:lang w:eastAsia="en-AU"/>
        </w:rPr>
        <w:t xml:space="preserve"> I have specifically argued my case for the exclusion of ‘existential concerns like meaning and </w:t>
      </w:r>
      <w:proofErr w:type="spellStart"/>
      <w:r w:rsidRPr="002A5B73">
        <w:rPr>
          <w:rFonts w:eastAsia="Calibri" w:cs="Times New Roman"/>
          <w:i/>
          <w:lang w:eastAsia="en-AU"/>
        </w:rPr>
        <w:t>eudaimonic</w:t>
      </w:r>
      <w:proofErr w:type="spellEnd"/>
      <w:r w:rsidRPr="002A5B73">
        <w:rPr>
          <w:rFonts w:eastAsia="Calibri" w:cs="Times New Roman"/>
          <w:i/>
          <w:lang w:eastAsia="en-AU"/>
        </w:rPr>
        <w:t xml:space="preserve"> concerns’ from research conducted within psychological science in </w:t>
      </w:r>
      <w:proofErr w:type="spellStart"/>
      <w:r w:rsidRPr="002A5B73">
        <w:rPr>
          <w:rFonts w:eastAsia="Calibri" w:cs="Times New Roman"/>
          <w:i/>
          <w:lang w:eastAsia="en-AU"/>
        </w:rPr>
        <w:t>ACQol</w:t>
      </w:r>
      <w:proofErr w:type="spellEnd"/>
      <w:r w:rsidRPr="002A5B73">
        <w:rPr>
          <w:rFonts w:eastAsia="Calibri" w:cs="Times New Roman"/>
          <w:i/>
          <w:lang w:eastAsia="en-AU"/>
        </w:rPr>
        <w:t xml:space="preserve"> Bulletin, 3/3</w:t>
      </w:r>
      <w:r w:rsidR="00947781">
        <w:rPr>
          <w:rFonts w:eastAsia="Calibri" w:cs="Times New Roman"/>
          <w:i/>
          <w:lang w:eastAsia="en-AU"/>
        </w:rPr>
        <w:t>6</w:t>
      </w:r>
      <w:r w:rsidRPr="002A5B73">
        <w:rPr>
          <w:rFonts w:eastAsia="Calibri" w:cs="Times New Roman"/>
          <w:i/>
          <w:lang w:eastAsia="en-AU"/>
        </w:rPr>
        <w:t xml:space="preserve">, </w:t>
      </w:r>
      <w:r w:rsidR="00947781">
        <w:rPr>
          <w:rFonts w:eastAsia="Calibri" w:cs="Times New Roman"/>
          <w:i/>
          <w:lang w:eastAsia="en-AU"/>
        </w:rPr>
        <w:t>05</w:t>
      </w:r>
      <w:r w:rsidRPr="002A5B73">
        <w:rPr>
          <w:rFonts w:eastAsia="Calibri" w:cs="Times New Roman"/>
          <w:i/>
          <w:lang w:eastAsia="en-AU"/>
        </w:rPr>
        <w:t xml:space="preserve">0919. In the absence of a reasoned critique, I will not comment further. However, I am certainly keen to develop the Theory of Subjective Wellbeing Homeostasis beyond ‘lightweight’. The attached paper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&lt;EndNote&gt;&lt;Cite&gt;&lt;Author&gt;Cummins&lt;/Author&gt;&lt;Year&gt;2017a&lt;/Year&gt;&lt;RecNum&gt;2946&lt;/RecNum&gt;&lt;DisplayText&gt;(Cummins, 2017a)&lt;/DisplayText&gt;&lt;record&gt;&lt;rec-number&gt;2946&lt;/rec-number&gt;&lt;foreign-keys&gt;&lt;key app="EN" db-id="z2xarpe9cfrvp4ezdxk5ddx9dsrzr05f22sa" timestamp="1491111749"&gt;2946&lt;/key&gt;&lt;/foreign-keys&gt;&lt;ref-type name="Electronic Book"&gt;44&lt;/ref-type&gt;&lt;contributors&gt;&lt;authors&gt;&lt;author&gt;Cummins, R. A.&lt;/author&gt;&lt;/authors&gt;&lt;secondary-authors&gt;&lt;author&gt;Dunn, D. S.&lt;/author&gt;&lt;/secondary-authors&gt;&lt;/contributors&gt;&lt;titles&gt;&lt;title&gt;Subjective Wellbeing Homeostasis - Second edition&lt;/title&gt;&lt;secondary-title&gt;Oxford Bibliographies Online&lt;/secondary-title&gt;&lt;/titles&gt;&lt;dates&gt;&lt;year&gt;2017a&lt;/year&gt;&lt;pub-dates&gt;&lt;date&gt;10 April 2018&lt;/date&gt;&lt;/pub-dates&gt;&lt;/dates&gt;&lt;pub-location&gt;New York &lt;/pub-location&gt;&lt;publisher&gt;Oxford University Press&lt;/publisher&gt;&lt;urls&gt;&lt;related-urls&gt;&lt;url&gt;http://www.oxfordbibliographies.com/view/document/obo-9780199828340/obo-9780199828340-0167.xml&lt;/url&gt;&lt;/related-urls&gt;&lt;/urls&gt;&lt;/record&gt;&lt;/Cite&gt;&lt;/EndNote&gt;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(Cummins, 2017a)</w:t>
      </w:r>
      <w:r w:rsidRPr="002A5B73">
        <w:rPr>
          <w:rFonts w:eastAsia="Calibri" w:cs="Times New Roman"/>
          <w:i/>
          <w:lang w:eastAsia="en-AU"/>
        </w:rPr>
        <w:fldChar w:fldCharType="end"/>
      </w:r>
      <w:r w:rsidRPr="002A5B73">
        <w:rPr>
          <w:rFonts w:eastAsia="Calibri" w:cs="Times New Roman"/>
          <w:i/>
          <w:lang w:eastAsia="en-AU"/>
        </w:rPr>
        <w:t xml:space="preserve"> is a recent review of the theory. A critique of this theory will be appreciated, as will </w:t>
      </w:r>
      <w:proofErr w:type="spellStart"/>
      <w:r w:rsidRPr="002A5B73">
        <w:rPr>
          <w:rFonts w:eastAsia="Calibri" w:cs="Times New Roman"/>
          <w:i/>
          <w:lang w:eastAsia="en-AU"/>
        </w:rPr>
        <w:t>advice</w:t>
      </w:r>
      <w:proofErr w:type="spellEnd"/>
      <w:r w:rsidRPr="002A5B73">
        <w:rPr>
          <w:rFonts w:eastAsia="Calibri" w:cs="Times New Roman"/>
          <w:i/>
          <w:lang w:eastAsia="en-AU"/>
        </w:rPr>
        <w:t xml:space="preserve"> as to how our research might progress to provide additional critical evidence.</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lang w:eastAsia="en-AU"/>
        </w:rPr>
      </w:pPr>
      <w:r w:rsidRPr="002A5B73">
        <w:rPr>
          <w:rFonts w:eastAsia="Calibri" w:cs="Times New Roman"/>
          <w:lang w:eastAsia="en-AU"/>
        </w:rPr>
        <w:t xml:space="preserve"> </w:t>
      </w:r>
      <w:r w:rsidRPr="002A5B73">
        <w:rPr>
          <w:rFonts w:eastAsia="Calibri" w:cs="Times New Roman"/>
          <w:b/>
          <w:lang w:eastAsia="en-AU"/>
        </w:rPr>
        <w:t>Fabian:</w:t>
      </w:r>
      <w:r w:rsidRPr="002A5B73">
        <w:rPr>
          <w:rFonts w:eastAsia="Calibri" w:cs="Times New Roman"/>
          <w:lang w:eastAsia="en-AU"/>
        </w:rPr>
        <w:t xml:space="preserve"> As Huppert and So have shown, these do not correlate well with life satisfaction or affect measures. In order to have the theoretical discussion required to proceed with an effective construct validation exercise and develop good metrics, we need terms like </w:t>
      </w:r>
      <w:proofErr w:type="spellStart"/>
      <w:r w:rsidRPr="002A5B73">
        <w:rPr>
          <w:rFonts w:eastAsia="Calibri" w:cs="Times New Roman"/>
          <w:lang w:eastAsia="en-AU"/>
        </w:rPr>
        <w:t>hedonia</w:t>
      </w:r>
      <w:proofErr w:type="spellEnd"/>
      <w:r w:rsidRPr="002A5B73">
        <w:rPr>
          <w:rFonts w:eastAsia="Calibri" w:cs="Times New Roman"/>
          <w:lang w:eastAsia="en-AU"/>
        </w:rPr>
        <w:t xml:space="preserve"> and </w:t>
      </w:r>
      <w:proofErr w:type="spellStart"/>
      <w:r w:rsidRPr="002A5B73">
        <w:rPr>
          <w:rFonts w:eastAsia="Calibri" w:cs="Times New Roman"/>
          <w:lang w:eastAsia="en-AU"/>
        </w:rPr>
        <w:t>eudaimonia</w:t>
      </w:r>
      <w:proofErr w:type="spellEnd"/>
      <w:r w:rsidRPr="002A5B73">
        <w:rPr>
          <w:rFonts w:eastAsia="Calibri" w:cs="Times New Roman"/>
          <w:lang w:eastAsia="en-AU"/>
        </w:rPr>
        <w:t xml:space="preserve">, and subjective well-being scholars need to spend a bit less time in the data and bit more time clarifying concepts. </w:t>
      </w:r>
      <w:r w:rsidRPr="002A5B73">
        <w:rPr>
          <w:rFonts w:eastAsia="Calibri" w:cs="Times New Roman"/>
          <w:u w:val="single"/>
          <w:lang w:eastAsia="en-AU"/>
        </w:rPr>
        <w:t xml:space="preserve">It is illustrative that you equate </w:t>
      </w:r>
      <w:r w:rsidRPr="002A5B73">
        <w:rPr>
          <w:rFonts w:eastAsia="Calibri" w:cs="Times New Roman"/>
          <w:i/>
          <w:iCs/>
          <w:u w:val="single"/>
          <w:lang w:eastAsia="en-AU"/>
        </w:rPr>
        <w:t>happiness</w:t>
      </w:r>
      <w:r w:rsidRPr="002A5B73">
        <w:rPr>
          <w:rFonts w:eastAsia="Calibri" w:cs="Times New Roman"/>
          <w:u w:val="single"/>
          <w:lang w:eastAsia="en-AU"/>
        </w:rPr>
        <w:t xml:space="preserve"> with subjective </w:t>
      </w:r>
      <w:r w:rsidRPr="002A5B73">
        <w:rPr>
          <w:rFonts w:eastAsia="Calibri" w:cs="Times New Roman"/>
          <w:i/>
          <w:iCs/>
          <w:u w:val="single"/>
          <w:lang w:eastAsia="en-AU"/>
        </w:rPr>
        <w:t>wellbeing</w:t>
      </w:r>
      <w:r w:rsidRPr="002A5B73">
        <w:rPr>
          <w:rFonts w:eastAsia="Calibri" w:cs="Times New Roman"/>
          <w:u w:val="single"/>
          <w:lang w:eastAsia="en-AU"/>
        </w:rPr>
        <w:t xml:space="preserve">, even though philosophers have always separated these two concepts (see for example, Sumner's </w:t>
      </w:r>
      <w:r w:rsidRPr="002A5B73">
        <w:rPr>
          <w:rFonts w:eastAsia="Calibri" w:cs="Times New Roman"/>
          <w:i/>
          <w:iCs/>
          <w:u w:val="single"/>
          <w:lang w:eastAsia="en-AU"/>
        </w:rPr>
        <w:t>Welfare, Happiness and Ethics</w:t>
      </w:r>
      <w:r w:rsidRPr="002A5B73">
        <w:rPr>
          <w:rFonts w:eastAsia="Calibri" w:cs="Times New Roman"/>
          <w:u w:val="single"/>
          <w:lang w:eastAsia="en-AU"/>
        </w:rPr>
        <w:t>).</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i/>
          <w:lang w:eastAsia="en-AU"/>
        </w:rPr>
      </w:pPr>
      <w:r w:rsidRPr="002A5B73">
        <w:rPr>
          <w:rFonts w:eastAsia="Calibri" w:cs="Times New Roman"/>
          <w:i/>
          <w:u w:val="single"/>
          <w:lang w:eastAsia="en-AU"/>
        </w:rPr>
        <w:t>3. Cummins:</w:t>
      </w:r>
      <w:r w:rsidRPr="002A5B73">
        <w:rPr>
          <w:rFonts w:eastAsia="Calibri" w:cs="Times New Roman"/>
          <w:i/>
          <w:lang w:eastAsia="en-AU"/>
        </w:rPr>
        <w:t xml:space="preserve"> The offending text reads “</w:t>
      </w:r>
      <w:r w:rsidRPr="002A5B73">
        <w:rPr>
          <w:rFonts w:eastAsia="Calibri" w:cs="Times New Roman"/>
          <w:i/>
          <w:lang w:val="en-US" w:eastAsia="en-AU"/>
        </w:rPr>
        <w:t xml:space="preserve">Evan’s … provides a lucid and critical account of early Greek philosophy on ‘happiness’ (Subjective Wellbeing: SWB),”. I agree that my </w:t>
      </w:r>
      <w:r w:rsidRPr="002A5B73">
        <w:rPr>
          <w:rFonts w:eastAsia="Calibri" w:cs="Times New Roman"/>
          <w:i/>
          <w:lang w:val="en-US" w:eastAsia="en-AU"/>
        </w:rPr>
        <w:lastRenderedPageBreak/>
        <w:t>attempted short-hand fails to convey its intended meaning. My intention was to indicate that, whereas the ancient Greek text is usually translated as implying ‘happiness’, psychological science employs SWB as the general term for ‘feeling good about one’s self’. As explained elsewhere in my text, in contemporary scientific terminology ‘happy’ is a single affect located at about 356</w:t>
      </w:r>
      <w:r w:rsidRPr="002A5B73">
        <w:rPr>
          <w:rFonts w:eastAsia="Calibri" w:cs="Times New Roman"/>
          <w:i/>
          <w:vertAlign w:val="superscript"/>
          <w:lang w:val="en-US" w:eastAsia="en-AU"/>
        </w:rPr>
        <w:t xml:space="preserve">0 </w:t>
      </w:r>
      <w:r w:rsidRPr="002A5B73">
        <w:rPr>
          <w:rFonts w:eastAsia="Calibri" w:cs="Times New Roman"/>
          <w:i/>
          <w:lang w:val="en-US" w:eastAsia="en-AU"/>
        </w:rPr>
        <w:t xml:space="preserve">on the affective </w:t>
      </w:r>
      <w:proofErr w:type="spellStart"/>
      <w:r w:rsidRPr="002A5B73">
        <w:rPr>
          <w:rFonts w:eastAsia="Calibri" w:cs="Times New Roman"/>
          <w:i/>
          <w:lang w:val="en-US" w:eastAsia="en-AU"/>
        </w:rPr>
        <w:t>circumplex</w:t>
      </w:r>
      <w:proofErr w:type="spellEnd"/>
      <w:r w:rsidRPr="002A5B73">
        <w:rPr>
          <w:rFonts w:eastAsia="Calibri" w:cs="Times New Roman"/>
          <w:i/>
          <w:lang w:val="en-US" w:eastAsia="en-AU"/>
        </w:rPr>
        <w:t xml:space="preserve"> </w:t>
      </w:r>
      <w:r w:rsidRPr="002A5B73">
        <w:rPr>
          <w:rFonts w:eastAsia="Calibri" w:cs="Times New Roman"/>
          <w:i/>
          <w:lang w:val="en-US" w:eastAsia="en-AU"/>
        </w:rPr>
        <w:fldChar w:fldCharType="begin"/>
      </w:r>
      <w:r w:rsidRPr="002A5B73">
        <w:rPr>
          <w:rFonts w:eastAsia="Calibri" w:cs="Times New Roman"/>
          <w:i/>
          <w:lang w:val="en-US" w:eastAsia="en-AU"/>
        </w:rPr>
        <w:instrText xml:space="preserve"> ADDIN EN.CITE &lt;EndNote&gt;&lt;Cite&gt;&lt;Author&gt;Davern&lt;/Author&gt;&lt;Year&gt;2007&lt;/Year&gt;&lt;RecNum&gt;312&lt;/RecNum&gt;&lt;Prefix&gt;see`, e.g. &lt;/Prefix&gt;&lt;DisplayText&gt;(see, e.g. Davern et al., 2007)&lt;/DisplayText&gt;&lt;record&gt;&lt;rec-number&gt;312&lt;/rec-number&gt;&lt;foreign-keys&gt;&lt;key app="EN" db-id="z2xarpe9cfrvp4ezdxk5ddx9dsrzr05f22sa" timestamp="1343947741"&gt;312&lt;/key&gt;&lt;/foreign-keys&gt;&lt;ref-type name="Journal Article"&gt;17&lt;/ref-type&gt;&lt;contributors&gt;&lt;authors&gt;&lt;author&gt;Davern, M.&lt;/author&gt;&lt;author&gt;Cummins, R. A.&lt;/author&gt;&lt;author&gt;Stokes, M.&lt;/author&gt;&lt;/authors&gt;&lt;/contributors&gt;&lt;titles&gt;&lt;title&gt;Subjective wellbeing as an affective/cognitive construct&lt;/title&gt;&lt;secondary-title&gt;Journal of Happiness Studies&lt;/secondary-title&gt;&lt;/titles&gt;&lt;periodical&gt;&lt;full-title&gt;Journal of Happiness Studies&lt;/full-title&gt;&lt;/periodical&gt;&lt;pages&gt;429-449&lt;/pages&gt;&lt;volume&gt;8&lt;/volume&gt;&lt;number&gt;4&lt;/number&gt;&lt;dates&gt;&lt;year&gt;2007&lt;/year&gt;&lt;/dates&gt;&lt;urls&gt;&lt;/urls&gt;&lt;electronic-resource-num&gt;10.1007/s10902-007-9066-1&lt;/electronic-resource-num&gt;&lt;/record&gt;&lt;/Cite&gt;&lt;/EndNote&gt;</w:instrText>
      </w:r>
      <w:r w:rsidRPr="002A5B73">
        <w:rPr>
          <w:rFonts w:eastAsia="Calibri" w:cs="Times New Roman"/>
          <w:i/>
          <w:lang w:val="en-US" w:eastAsia="en-AU"/>
        </w:rPr>
        <w:fldChar w:fldCharType="separate"/>
      </w:r>
      <w:r w:rsidRPr="002A5B73">
        <w:rPr>
          <w:rFonts w:eastAsia="Calibri" w:cs="Times New Roman"/>
          <w:i/>
          <w:noProof/>
          <w:lang w:val="en-US" w:eastAsia="en-AU"/>
        </w:rPr>
        <w:t>(see, e.g. Davern et al., 2007)</w:t>
      </w:r>
      <w:r w:rsidRPr="002A5B73">
        <w:rPr>
          <w:rFonts w:eastAsia="Calibri" w:cs="Times New Roman"/>
          <w:i/>
          <w:lang w:val="en-US" w:eastAsia="en-AU"/>
        </w:rPr>
        <w:fldChar w:fldCharType="end"/>
      </w:r>
      <w:r w:rsidRPr="002A5B73">
        <w:rPr>
          <w:rFonts w:eastAsia="Calibri" w:cs="Times New Roman"/>
          <w:i/>
          <w:lang w:val="en-US" w:eastAsia="en-AU"/>
        </w:rPr>
        <w:t>.</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lang w:eastAsia="en-AU"/>
        </w:rPr>
      </w:pPr>
      <w:r w:rsidRPr="002A5B73">
        <w:rPr>
          <w:rFonts w:eastAsia="Calibri" w:cs="Times New Roman"/>
          <w:lang w:eastAsia="en-AU"/>
        </w:rPr>
        <w:t> </w:t>
      </w:r>
      <w:r w:rsidRPr="002A5B73">
        <w:rPr>
          <w:rFonts w:eastAsia="Calibri" w:cs="Times New Roman"/>
          <w:b/>
          <w:lang w:eastAsia="en-AU"/>
        </w:rPr>
        <w:t>Fabian:</w:t>
      </w:r>
      <w:r w:rsidRPr="002A5B73">
        <w:rPr>
          <w:rFonts w:eastAsia="Calibri" w:cs="Times New Roman"/>
          <w:lang w:eastAsia="en-AU"/>
        </w:rPr>
        <w:t xml:space="preserve"> Eudaimonia is handled particularly egregiously in this context, with many SWB scholars presently associating it with meaning and purpose (see e.g. OECD 2013, Stone and Mackie 2013, Clark et al 2018) even though both philosophical and psychological accounts of eudaimonia explicitly distance themselves from meaning and purpose. While I am not sympathetic to ancient philosophical perspectives on eudaimonia, the fact that these are hard to operationalise does not mean that they are incorrect. For example, the notion that someone needs "practical wisdom" to achieve optimal functioning seems straightforwardly correct - fools might be </w:t>
      </w:r>
      <w:r w:rsidRPr="002A5B73">
        <w:rPr>
          <w:rFonts w:eastAsia="Calibri" w:cs="Times New Roman"/>
          <w:i/>
          <w:iCs/>
          <w:lang w:eastAsia="en-AU"/>
        </w:rPr>
        <w:t>happy</w:t>
      </w:r>
      <w:r w:rsidRPr="002A5B73">
        <w:rPr>
          <w:rFonts w:eastAsia="Calibri" w:cs="Times New Roman"/>
          <w:lang w:eastAsia="en-AU"/>
        </w:rPr>
        <w:t xml:space="preserve"> but they are not </w:t>
      </w:r>
      <w:r w:rsidRPr="002A5B73">
        <w:rPr>
          <w:rFonts w:eastAsia="Calibri" w:cs="Times New Roman"/>
          <w:i/>
          <w:iCs/>
          <w:lang w:eastAsia="en-AU"/>
        </w:rPr>
        <w:t>well</w:t>
      </w:r>
      <w:r w:rsidRPr="002A5B73">
        <w:rPr>
          <w:rFonts w:eastAsia="Calibri" w:cs="Times New Roman"/>
          <w:lang w:eastAsia="en-AU"/>
        </w:rPr>
        <w:t xml:space="preserve">. We should not mistake what we can measure well for the totality of a concept, else we would be back at the consumption measures economists are fond of. In any case, </w:t>
      </w:r>
      <w:proofErr w:type="spellStart"/>
      <w:r w:rsidRPr="002A5B73">
        <w:rPr>
          <w:rFonts w:eastAsia="Calibri" w:cs="Times New Roman"/>
          <w:u w:val="single"/>
          <w:lang w:eastAsia="en-AU"/>
        </w:rPr>
        <w:t>eudaimonic</w:t>
      </w:r>
      <w:proofErr w:type="spellEnd"/>
      <w:r w:rsidRPr="002A5B73">
        <w:rPr>
          <w:rFonts w:eastAsia="Calibri" w:cs="Times New Roman"/>
          <w:u w:val="single"/>
          <w:lang w:eastAsia="en-AU"/>
        </w:rPr>
        <w:t xml:space="preserve"> perspectives in psychology (notably self-determination theory) have plenty of valid measures at their disposal. </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i/>
          <w:lang w:eastAsia="en-AU"/>
        </w:rPr>
      </w:pPr>
      <w:r w:rsidRPr="002A5B73">
        <w:rPr>
          <w:rFonts w:eastAsia="Calibri" w:cs="Times New Roman"/>
          <w:i/>
          <w:lang w:eastAsia="en-AU"/>
        </w:rPr>
        <w:t>4.</w:t>
      </w:r>
      <w:r w:rsidRPr="002A5B73">
        <w:rPr>
          <w:rFonts w:eastAsia="Calibri" w:cs="Times New Roman"/>
          <w:i/>
          <w:u w:val="single"/>
          <w:lang w:eastAsia="en-AU"/>
        </w:rPr>
        <w:t xml:space="preserve"> Cummins</w:t>
      </w:r>
      <w:r w:rsidRPr="002A5B73">
        <w:rPr>
          <w:rFonts w:eastAsia="Calibri" w:cs="Times New Roman"/>
          <w:i/>
          <w:lang w:eastAsia="en-AU"/>
        </w:rPr>
        <w:t xml:space="preserve">: I challenge the statement that ‘self-determination theory has plenty of valid measures’. In making my point, consider </w:t>
      </w:r>
      <w:r w:rsidRPr="002A5B73">
        <w:rPr>
          <w:rFonts w:eastAsia="Calibri" w:cs="Times New Roman"/>
          <w:i/>
          <w:lang w:val="en-US" w:eastAsia="en-AU"/>
        </w:rPr>
        <w:fldChar w:fldCharType="begin"/>
      </w:r>
      <w:r w:rsidRPr="002A5B73">
        <w:rPr>
          <w:rFonts w:eastAsia="Calibri" w:cs="Times New Roman"/>
          <w:i/>
          <w:lang w:val="en-US" w:eastAsia="en-AU"/>
        </w:rPr>
        <w:instrText xml:space="preserve"> ADDIN EN.CITE &lt;EndNote&gt;&lt;Cite AuthorYear="1"&gt;&lt;Author&gt;Ryan&lt;/Author&gt;&lt;Year&gt;2000&lt;/Year&gt;&lt;RecNum&gt;1468&lt;/RecNum&gt;&lt;DisplayText&gt;Ryan and Deci (2000)&lt;/DisplayText&gt;&lt;record&gt;&lt;rec-number&gt;1468&lt;/rec-number&gt;&lt;foreign-keys&gt;&lt;key app="EN" db-id="z2xarpe9cfrvp4ezdxk5ddx9dsrzr05f22sa" timestamp="1415048299"&gt;1468&lt;/key&gt;&lt;/foreign-keys&gt;&lt;ref-type name="Journal Article"&gt;17&lt;/ref-type&gt;&lt;contributors&gt;&lt;authors&gt;&lt;author&gt;Ryan, R. M.&lt;/author&gt;&lt;author&gt;Deci, E. L&lt;/author&gt;&lt;/authors&gt;&lt;/contributors&gt;&lt;titles&gt;&lt;title&gt;Self-determination theory and the facilitation of intrinsic motivation, social development, and well-being&lt;/title&gt;&lt;secondary-title&gt;American psychologist&lt;/secondary-title&gt;&lt;/titles&gt;&lt;periodical&gt;&lt;full-title&gt;American Psychologist&lt;/full-title&gt;&lt;/periodical&gt;&lt;pages&gt;68-78&lt;/pages&gt;&lt;volume&gt;55&lt;/volume&gt;&lt;number&gt;1&lt;/number&gt;&lt;dates&gt;&lt;year&gt;2000&lt;/year&gt;&lt;/dates&gt;&lt;isbn&gt;1557987041&lt;/isbn&gt;&lt;urls&gt;&lt;/urls&gt;&lt;/record&gt;&lt;/Cite&gt;&lt;/EndNote&gt;</w:instrText>
      </w:r>
      <w:r w:rsidRPr="002A5B73">
        <w:rPr>
          <w:rFonts w:eastAsia="Calibri" w:cs="Times New Roman"/>
          <w:i/>
          <w:lang w:val="en-US" w:eastAsia="en-AU"/>
        </w:rPr>
        <w:fldChar w:fldCharType="separate"/>
      </w:r>
      <w:r w:rsidRPr="002A5B73">
        <w:rPr>
          <w:rFonts w:eastAsia="Calibri" w:cs="Times New Roman"/>
          <w:i/>
          <w:noProof/>
          <w:lang w:val="en-US" w:eastAsia="en-AU"/>
        </w:rPr>
        <w:t>Ryan and Deci (2000)</w:t>
      </w:r>
      <w:r w:rsidRPr="002A5B73">
        <w:rPr>
          <w:rFonts w:eastAsia="Calibri" w:cs="Times New Roman"/>
          <w:i/>
          <w:lang w:val="en-US" w:eastAsia="en-AU"/>
        </w:rPr>
        <w:fldChar w:fldCharType="end"/>
      </w:r>
      <w:r w:rsidRPr="002A5B73">
        <w:rPr>
          <w:rFonts w:eastAsia="Calibri" w:cs="Times New Roman"/>
          <w:i/>
          <w:lang w:val="en-US" w:eastAsia="en-AU"/>
        </w:rPr>
        <w:t>, which has received over 32,000 citations. The authors state that each type of need-motivation “has specifiable consequences for … well-being” (p.69).</w:t>
      </w:r>
      <w:r w:rsidRPr="002A5B73">
        <w:rPr>
          <w:rFonts w:eastAsia="Calibri" w:cs="Times New Roman"/>
          <w:i/>
          <w:lang w:eastAsia="en-AU"/>
        </w:rPr>
        <w:t xml:space="preserve"> As evidence they claim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 AuthorYear="1"&gt;&lt;Author&gt;Reis&lt;/Author&gt;&lt;Year&gt;2000&lt;/Year&gt;&lt;RecNum&gt;1472&lt;/RecNum&gt;&lt;DisplayText&gt;Reis, Sheldon, Gable, Roscoe, and Ryan (2000)&lt;/DisplayText&gt;&lt;record&gt;&lt;rec-number&gt;1472&lt;/rec-number&gt;&lt;foreign-keys&gt;&lt;key app="EN" db-id="z2xarpe9cfrvp4ezdxk5ddx9dsrzr05f22sa" timestamp="1415076323"&gt;1472&lt;/key&gt;&lt;/foreign-keys&gt;&lt;ref-type name="Journal Article"&gt;17&lt;/ref-type&gt;&lt;contributors&gt;&lt;authors&gt;&lt;author&gt;Reis, H. T.&lt;/author&gt;&lt;author&gt;Sheldon, Kennon M&lt;/author&gt;&lt;author&gt;Gable, Shelly L&lt;/author&gt;&lt;author&gt;Roscoe, Joseph&lt;/author&gt;&lt;author&gt;Ryan, Richard M&lt;/author&gt;&lt;/authors&gt;&lt;/contributors&gt;&lt;titles&gt;&lt;title&gt;Daily well-being: The role of autonomy, competence, and relatedness&lt;/title&gt;&lt;secondary-title&gt;Personality and Social Psychology Bulletin&lt;/secondary-title&gt;&lt;/titles&gt;&lt;periodical&gt;&lt;full-title&gt;Personality and Social Psychology Bulletin&lt;/full-title&gt;&lt;/periodical&gt;&lt;pages&gt;419-435&lt;/pages&gt;&lt;volume&gt;26&lt;/volume&gt;&lt;number&gt;4&lt;/number&gt;&lt;dates&gt;&lt;year&gt;2000&lt;/year&gt;&lt;/dates&gt;&lt;isbn&gt;0146-1672&lt;/isbn&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Reis, Sheldon, Gable, Roscoe, and Ryan (2000)</w:t>
      </w:r>
      <w:r w:rsidRPr="002A5B73">
        <w:rPr>
          <w:rFonts w:eastAsia="Calibri" w:cs="Times New Roman"/>
          <w:i/>
          <w:lang w:eastAsia="en-AU"/>
        </w:rPr>
        <w:fldChar w:fldCharType="end"/>
      </w:r>
      <w:r w:rsidRPr="002A5B73">
        <w:rPr>
          <w:rFonts w:eastAsia="Calibri" w:cs="Times New Roman"/>
          <w:i/>
          <w:lang w:eastAsia="en-AU"/>
        </w:rPr>
        <w:t xml:space="preserve"> </w:t>
      </w:r>
      <w:r w:rsidRPr="002A5B73">
        <w:rPr>
          <w:rFonts w:eastAsia="Calibri" w:cs="Times New Roman"/>
          <w:i/>
          <w:lang w:val="en-US" w:eastAsia="en-AU"/>
        </w:rPr>
        <w:t>found that variations in the fulfillment of each of the</w:t>
      </w:r>
      <w:r w:rsidRPr="002A5B73">
        <w:rPr>
          <w:rFonts w:eastAsia="Calibri" w:cs="Times New Roman"/>
          <w:i/>
          <w:lang w:eastAsia="en-AU"/>
        </w:rPr>
        <w:t xml:space="preserve"> </w:t>
      </w:r>
      <w:r w:rsidRPr="002A5B73">
        <w:rPr>
          <w:rFonts w:eastAsia="Calibri" w:cs="Times New Roman"/>
          <w:i/>
          <w:lang w:val="en-US" w:eastAsia="en-AU"/>
        </w:rPr>
        <w:t>three needs (i.e., competence, autonomy, and relatedness)</w:t>
      </w:r>
      <w:r w:rsidRPr="002A5B73">
        <w:rPr>
          <w:rFonts w:eastAsia="Calibri" w:cs="Times New Roman"/>
          <w:i/>
          <w:lang w:eastAsia="en-AU"/>
        </w:rPr>
        <w:t xml:space="preserve"> </w:t>
      </w:r>
      <w:r w:rsidRPr="002A5B73">
        <w:rPr>
          <w:rFonts w:eastAsia="Calibri" w:cs="Times New Roman"/>
          <w:i/>
          <w:lang w:val="en-US" w:eastAsia="en-AU"/>
        </w:rPr>
        <w:t xml:space="preserve">independently predicted variability in daily well-being” </w:t>
      </w:r>
      <w:r w:rsidRPr="002A5B73">
        <w:rPr>
          <w:rFonts w:eastAsia="Calibri" w:cs="Times New Roman"/>
          <w:i/>
          <w:lang w:val="en-US" w:eastAsia="en-AU"/>
        </w:rPr>
        <w:fldChar w:fldCharType="begin"/>
      </w:r>
      <w:r w:rsidRPr="002A5B73">
        <w:rPr>
          <w:rFonts w:eastAsia="Calibri" w:cs="Times New Roman"/>
          <w:i/>
          <w:lang w:val="en-US" w:eastAsia="en-AU"/>
        </w:rPr>
        <w:instrText xml:space="preserve"> ADDIN EN.CITE &lt;EndNote&gt;&lt;Cite&gt;&lt;Author&gt;Ryan&lt;/Author&gt;&lt;Year&gt;2000&lt;/Year&gt;&lt;RecNum&gt;1468&lt;/RecNum&gt;&lt;Pages&gt;76&lt;/Pages&gt;&lt;DisplayText&gt;(Ryan &amp;amp; Deci, 2000, p. 76)&lt;/DisplayText&gt;&lt;record&gt;&lt;rec-number&gt;1468&lt;/rec-number&gt;&lt;foreign-keys&gt;&lt;key app="EN" db-id="z2xarpe9cfrvp4ezdxk5ddx9dsrzr05f22sa" timestamp="1415048299"&gt;1468&lt;/key&gt;&lt;/foreign-keys&gt;&lt;ref-type name="Journal Article"&gt;17&lt;/ref-type&gt;&lt;contributors&gt;&lt;authors&gt;&lt;author&gt;Ryan, R. M.&lt;/author&gt;&lt;author&gt;Deci, E. L&lt;/author&gt;&lt;/authors&gt;&lt;/contributors&gt;&lt;titles&gt;&lt;title&gt;Self-determination theory and the facilitation of intrinsic motivation, social development, and well-being&lt;/title&gt;&lt;secondary-title&gt;American psychologist&lt;/secondary-title&gt;&lt;/titles&gt;&lt;periodical&gt;&lt;full-title&gt;American Psychologist&lt;/full-title&gt;&lt;/periodical&gt;&lt;pages&gt;68-78&lt;/pages&gt;&lt;volume&gt;55&lt;/volume&gt;&lt;number&gt;1&lt;/number&gt;&lt;dates&gt;&lt;year&gt;2000&lt;/year&gt;&lt;/dates&gt;&lt;isbn&gt;1557987041&lt;/isbn&gt;&lt;urls&gt;&lt;/urls&gt;&lt;/record&gt;&lt;/Cite&gt;&lt;/EndNote&gt;</w:instrText>
      </w:r>
      <w:r w:rsidRPr="002A5B73">
        <w:rPr>
          <w:rFonts w:eastAsia="Calibri" w:cs="Times New Roman"/>
          <w:i/>
          <w:lang w:val="en-US" w:eastAsia="en-AU"/>
        </w:rPr>
        <w:fldChar w:fldCharType="separate"/>
      </w:r>
      <w:r w:rsidRPr="002A5B73">
        <w:rPr>
          <w:rFonts w:eastAsia="Calibri" w:cs="Times New Roman"/>
          <w:i/>
          <w:noProof/>
          <w:lang w:val="en-US" w:eastAsia="en-AU"/>
        </w:rPr>
        <w:t>(Ryan &amp; Deci, 2000, p. 76)</w:t>
      </w:r>
      <w:r w:rsidRPr="002A5B73">
        <w:rPr>
          <w:rFonts w:eastAsia="Calibri" w:cs="Times New Roman"/>
          <w:i/>
          <w:lang w:val="en-US" w:eastAsia="en-AU"/>
        </w:rPr>
        <w:fldChar w:fldCharType="end"/>
      </w:r>
      <w:r w:rsidRPr="002A5B73">
        <w:rPr>
          <w:rFonts w:eastAsia="Calibri" w:cs="Times New Roman"/>
          <w:i/>
          <w:lang w:val="en-US" w:eastAsia="en-AU"/>
        </w:rPr>
        <w:t>. This would be an important result if verified.</w:t>
      </w:r>
    </w:p>
    <w:p w:rsidR="002A5B73" w:rsidRPr="002A5B73" w:rsidRDefault="002A5B73" w:rsidP="002A5B73">
      <w:pPr>
        <w:rPr>
          <w:rFonts w:eastAsia="Calibri" w:cs="Times New Roman"/>
          <w:i/>
          <w:lang w:val="en-US" w:eastAsia="en-AU"/>
        </w:rPr>
      </w:pPr>
    </w:p>
    <w:p w:rsidR="002A5B73" w:rsidRPr="002A5B73" w:rsidRDefault="002A5B73" w:rsidP="002A5B73">
      <w:pPr>
        <w:rPr>
          <w:rFonts w:eastAsia="Calibri" w:cs="Times New Roman"/>
          <w:i/>
          <w:lang w:eastAsia="en-AU"/>
        </w:rPr>
      </w:pPr>
      <w:r w:rsidRPr="002A5B73">
        <w:rPr>
          <w:rFonts w:eastAsia="Calibri" w:cs="Times New Roman"/>
          <w:i/>
          <w:lang w:eastAsia="en-AU"/>
        </w:rPr>
        <w:t xml:space="preserve">As a measure of the three needs,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 AuthorYear="1"&gt;&lt;Author&gt;Reis&lt;/Author&gt;&lt;Year&gt;2000&lt;/Year&gt;&lt;RecNum&gt;1472&lt;/RecNum&gt;&lt;DisplayText&gt;Reis et al. (2000)&lt;/DisplayText&gt;&lt;record&gt;&lt;rec-number&gt;1472&lt;/rec-number&gt;&lt;foreign-keys&gt;&lt;key app="EN" db-id="z2xarpe9cfrvp4ezdxk5ddx9dsrzr05f22sa" timestamp="1415076323"&gt;1472&lt;/key&gt;&lt;/foreign-keys&gt;&lt;ref-type name="Journal Article"&gt;17&lt;/ref-type&gt;&lt;contributors&gt;&lt;authors&gt;&lt;author&gt;Reis, H. T.&lt;/author&gt;&lt;author&gt;Sheldon, Kennon M&lt;/author&gt;&lt;author&gt;Gable, Shelly L&lt;/author&gt;&lt;author&gt;Roscoe, Joseph&lt;/author&gt;&lt;author&gt;Ryan, Richard M&lt;/author&gt;&lt;/authors&gt;&lt;/contributors&gt;&lt;titles&gt;&lt;title&gt;Daily well-being: The role of autonomy, competence, and relatedness&lt;/title&gt;&lt;secondary-title&gt;Personality and Social Psychology Bulletin&lt;/secondary-title&gt;&lt;/titles&gt;&lt;periodical&gt;&lt;full-title&gt;Personality and Social Psychology Bulletin&lt;/full-title&gt;&lt;/periodical&gt;&lt;pages&gt;419-435&lt;/pages&gt;&lt;volume&gt;26&lt;/volume&gt;&lt;number&gt;4&lt;/number&gt;&lt;dates&gt;&lt;year&gt;2000&lt;/year&gt;&lt;/dates&gt;&lt;isbn&gt;0146-1672&lt;/isbn&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Reis et al. (2000)</w:t>
      </w:r>
      <w:r w:rsidRPr="002A5B73">
        <w:rPr>
          <w:rFonts w:eastAsia="Calibri" w:cs="Times New Roman"/>
          <w:i/>
          <w:lang w:eastAsia="en-AU"/>
        </w:rPr>
        <w:fldChar w:fldCharType="end"/>
      </w:r>
      <w:r w:rsidRPr="002A5B73">
        <w:rPr>
          <w:rFonts w:eastAsia="Calibri" w:cs="Times New Roman"/>
          <w:i/>
          <w:lang w:eastAsia="en-AU"/>
        </w:rPr>
        <w:t xml:space="preserve"> use the following instruments: Autonomy - the Self- Determination Scale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&lt;EndNote&gt;&lt;Cite&gt;&lt;Author&gt;Sheldon&lt;/Author&gt;&lt;Year&gt;1996&lt;/Year&gt;&lt;RecNum&gt;1574&lt;/RecNum&gt;&lt;DisplayText&gt;(Sheldon &amp;amp; Deci, 1996)&lt;/DisplayText&gt;&lt;record&gt;&lt;rec-number&gt;1574&lt;/rec-number&gt;&lt;foreign-keys&gt;&lt;key app="EN" db-id="z2xarpe9cfrvp4ezdxk5ddx9dsrzr05f22sa" timestamp="1417427240"&gt;1574&lt;/key&gt;&lt;/foreign-keys&gt;&lt;ref-type name="Journal Article"&gt;17&lt;/ref-type&gt;&lt;contributors&gt;&lt;authors&gt;&lt;author&gt;Sheldon, K. M.&lt;/author&gt;&lt;author&gt;Deci, E&lt;/author&gt;&lt;/authors&gt;&lt;/contributors&gt;&lt;titles&gt;&lt;title&gt;The self-determination scale&lt;/title&gt;&lt;secondary-title&gt;Unpublished manuscript, University of Rochester&lt;/secondary-title&gt;&lt;/titles&gt;&lt;periodical&gt;&lt;full-title&gt;Unpublished manuscript, University of Rochester&lt;/full-title&gt;&lt;/periodical&gt;&lt;volume&gt;754&lt;/volume&gt;&lt;dates&gt;&lt;year&gt;1996&lt;/year&gt;&lt;/dates&gt;&lt;urls&gt;&lt;/urls&gt;&lt;/record&gt;&lt;/Cite&gt;&lt;/EndNote&gt;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(Sheldon &amp; Deci, 1996)</w:t>
      </w:r>
      <w:r w:rsidRPr="002A5B73">
        <w:rPr>
          <w:rFonts w:eastAsia="Calibri" w:cs="Times New Roman"/>
          <w:i/>
          <w:lang w:eastAsia="en-AU"/>
        </w:rPr>
        <w:fldChar w:fldCharType="end"/>
      </w:r>
      <w:r w:rsidRPr="002A5B73">
        <w:rPr>
          <w:rFonts w:eastAsia="Calibri" w:cs="Times New Roman"/>
          <w:i/>
          <w:lang w:eastAsia="en-AU"/>
        </w:rPr>
        <w:t xml:space="preserve">. Competence - the Multidimensional Self-Esteem Inventory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&lt;EndNote&gt;&lt;Cite&gt;&lt;Author&gt;O&amp;apos;Brien&lt;/Author&gt;&lt;Year&gt;1988&lt;/Year&gt;&lt;RecNum&gt;1575&lt;/RecNum&gt;&lt;DisplayText&gt;(O&amp;apos;Brien &amp;amp; Epstein, 1988)&lt;/DisplayText&gt;&lt;record&gt;&lt;rec-number&gt;1575&lt;/rec-number&gt;&lt;foreign-keys&gt;&lt;key app="EN" db-id="z2xarpe9cfrvp4ezdxk5ddx9dsrzr05f22sa" timestamp="1417427698"&gt;1575&lt;/key&gt;&lt;/foreign-keys&gt;&lt;ref-type name="Book"&gt;6&lt;/ref-type&gt;&lt;contributors&gt;&lt;authors&gt;&lt;author&gt;O&amp;apos;Brien, E.&lt;/author&gt;&lt;author&gt;Epstein, Seymour&lt;/author&gt;&lt;/authors&gt;&lt;/contributors&gt;&lt;titles&gt;&lt;title&gt;The Multidimensional Self-Esteem Inventory: Professional manual&lt;/title&gt;&lt;/titles&gt;&lt;dates&gt;&lt;year&gt;1988&lt;/year&gt;&lt;/dates&gt;&lt;pub-location&gt;Odessa, FL&lt;/pub-location&gt;&lt;publisher&gt;Psychological Assessment Resources&lt;/publisher&gt;&lt;urls&gt;&lt;/urls&gt;&lt;/record&gt;&lt;/Cite&gt;&lt;/EndNote&gt;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(O'Brien &amp; Epstein, 1988)</w:t>
      </w:r>
      <w:r w:rsidRPr="002A5B73">
        <w:rPr>
          <w:rFonts w:eastAsia="Calibri" w:cs="Times New Roman"/>
          <w:i/>
          <w:lang w:eastAsia="en-AU"/>
        </w:rPr>
        <w:fldChar w:fldCharType="end"/>
      </w:r>
      <w:r w:rsidRPr="002A5B73">
        <w:rPr>
          <w:rFonts w:eastAsia="Calibri" w:cs="Times New Roman"/>
          <w:i/>
          <w:lang w:eastAsia="en-AU"/>
        </w:rPr>
        <w:t xml:space="preserve">. Relatedness - a measure of attachment style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&lt;EndNote&gt;&lt;Cite&gt;&lt;Author&gt;Mikulincer&lt;/Author&gt;&lt;Year&gt;1990&lt;/Year&gt;&lt;RecNum&gt;1783&lt;/RecNum&gt;&lt;DisplayText&gt;(Mikulincer, Florian, &amp;amp; Tolmacz, 1990)&lt;/DisplayText&gt;&lt;record&gt;&lt;rec-number&gt;1783&lt;/rec-number&gt;&lt;foreign-keys&gt;&lt;key app="EN" db-id="z2xarpe9cfrvp4ezdxk5ddx9dsrzr05f22sa" timestamp="1428621554"&gt;1783&lt;/key&gt;&lt;/foreign-keys&gt;&lt;ref-type name="Journal Article"&gt;17&lt;/ref-type&gt;&lt;contributors&gt;&lt;authors&gt;&lt;author&gt;Mikulincer, M.&lt;/author&gt;&lt;author&gt;Florian, V.&lt;/author&gt;&lt;author&gt;Tolmacz, R.&lt;/author&gt;&lt;/authors&gt;&lt;/contributors&gt;&lt;titles&gt;&lt;title&gt;Attachment styles and fear of personal death: A case study of affect regulation&lt;/title&gt;&lt;secondary-title&gt;Journal of Personality and Social Psychology&lt;/secondary-title&gt;&lt;/titles&gt;&lt;periodical&gt;&lt;full-title&gt;Journal of Personality and Social Psychology&lt;/full-title&gt;&lt;/periodical&gt;&lt;pages&gt;273-280&lt;/pages&gt;&lt;volume&gt;58&lt;/volume&gt;&lt;dates&gt;&lt;year&gt;1990&lt;/year&gt;&lt;/dates&gt;&lt;urls&gt;&lt;/urls&gt;&lt;/record&gt;&lt;/Cite&gt;&lt;/EndNote&gt;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(Mikulincer, Florian, &amp; Tolmacz, 1990)</w:t>
      </w:r>
      <w:r w:rsidRPr="002A5B73">
        <w:rPr>
          <w:rFonts w:eastAsia="Calibri" w:cs="Times New Roman"/>
          <w:i/>
          <w:lang w:eastAsia="en-AU"/>
        </w:rPr>
        <w:fldChar w:fldCharType="end"/>
      </w:r>
      <w:r w:rsidRPr="002A5B73">
        <w:rPr>
          <w:rFonts w:eastAsia="Calibri" w:cs="Times New Roman"/>
          <w:i/>
          <w:lang w:eastAsia="en-AU"/>
        </w:rPr>
        <w:t xml:space="preserve"> combined with the UCLA Loneliness scale </w:t>
      </w:r>
      <w:r w:rsidRPr="002A5B73">
        <w:rPr>
          <w:rFonts w:eastAsia="Calibri" w:cs="Times New Roman"/>
          <w:i/>
          <w:lang w:eastAsia="en-AU"/>
        </w:rPr>
        <w:fldChar w:fldCharType="begin"/>
      </w:r>
      <w:r w:rsidRPr="002A5B73">
        <w:rPr>
          <w:rFonts w:eastAsia="Calibri" w:cs="Times New Roman"/>
          <w:i/>
          <w:lang w:eastAsia="en-AU"/>
        </w:rPr>
        <w:instrText xml:space="preserve"> ADDIN EN.CITE &lt;EndNote&gt;&lt;Cite&gt;&lt;Author&gt;Russel&lt;/Author&gt;&lt;Year&gt;1980&lt;/Year&gt;&lt;RecNum&gt;1785&lt;/RecNum&gt;&lt;DisplayText&gt;(Russel, Peplau, &amp;amp; Cutrona, 1980)&lt;/DisplayText&gt;&lt;record&gt;&lt;rec-number&gt;1785&lt;/rec-number&gt;&lt;foreign-keys&gt;&lt;key app="EN" db-id="z2xarpe9cfrvp4ezdxk5ddx9dsrzr05f22sa" timestamp="1428622938"&gt;1785&lt;/key&gt;&lt;/foreign-keys&gt;&lt;ref-type name="Journal Article"&gt;17&lt;/ref-type&gt;&lt;contributors&gt;&lt;authors&gt;&lt;author&gt;Russel, D.&lt;/author&gt;&lt;author&gt;Peplau, Letitia A&lt;/author&gt;&lt;author&gt;Cutrona, Carolyn E&lt;/author&gt;&lt;/authors&gt;&lt;/contributors&gt;&lt;titles&gt;&lt;title&gt;The revised UCLA Loneliness Scale: Concurrent and discriminant validity evidence&lt;/title&gt;&lt;secondary-title&gt;Journal of personality and social psychology&lt;/secondary-title&gt;&lt;/titles&gt;&lt;periodical&gt;&lt;full-title&gt;Journal of Personality and Social Psychology&lt;/full-title&gt;&lt;/periodical&gt;&lt;pages&gt;472-480&lt;/pages&gt;&lt;volume&gt;39&lt;/volume&gt;&lt;number&gt;3&lt;/number&gt;&lt;dates&gt;&lt;year&gt;1980&lt;/year&gt;&lt;/dates&gt;&lt;urls&gt;&lt;/urls&gt;&lt;/record&gt;&lt;/Cite&gt;&lt;/EndNote&gt;</w:instrText>
      </w:r>
      <w:r w:rsidRPr="002A5B73">
        <w:rPr>
          <w:rFonts w:eastAsia="Calibri" w:cs="Times New Roman"/>
          <w:i/>
          <w:lang w:eastAsia="en-AU"/>
        </w:rPr>
        <w:fldChar w:fldCharType="separate"/>
      </w:r>
      <w:r w:rsidRPr="002A5B73">
        <w:rPr>
          <w:rFonts w:eastAsia="Calibri" w:cs="Times New Roman"/>
          <w:i/>
          <w:noProof/>
          <w:lang w:eastAsia="en-AU"/>
        </w:rPr>
        <w:t>(Russel, Peplau, &amp; Cutrona, 1980)</w:t>
      </w:r>
      <w:r w:rsidRPr="002A5B73">
        <w:rPr>
          <w:rFonts w:eastAsia="Calibri" w:cs="Times New Roman"/>
          <w:i/>
          <w:lang w:eastAsia="en-AU"/>
        </w:rPr>
        <w:fldChar w:fldCharType="end"/>
      </w:r>
      <w:r w:rsidRPr="002A5B73">
        <w:rPr>
          <w:rFonts w:eastAsia="Calibri" w:cs="Times New Roman"/>
          <w:i/>
          <w:lang w:eastAsia="en-AU"/>
        </w:rPr>
        <w:t xml:space="preserve">. Factor analysis of the combined ‘relatedness’ measures revealed two method factors, positive and negative. The authors then created a ‘connectedness composite’ by subtracting the negative factor from the positive factor. </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i/>
          <w:lang w:eastAsia="en-AU"/>
        </w:rPr>
      </w:pPr>
      <w:r w:rsidRPr="002A5B73">
        <w:rPr>
          <w:rFonts w:eastAsia="Calibri" w:cs="Times New Roman"/>
          <w:i/>
          <w:lang w:eastAsia="en-AU"/>
        </w:rPr>
        <w:t>The problems with these measures are as follows. The Self-Determination Scale is unpublished, the Multidimensional Self-Esteem Inventory is not publicly available for examination, and as far as is known, neither scale has been validated. Additionally, the correlation between the three measures of autonomy, competence and relatedness ranged from .31 to .40, which are not significantly different from one another (</w:t>
      </w:r>
      <w:proofErr w:type="spellStart"/>
      <w:r w:rsidRPr="002A5B73">
        <w:rPr>
          <w:rFonts w:eastAsia="Calibri" w:cs="Times New Roman"/>
          <w:i/>
          <w:lang w:eastAsia="en-AU"/>
        </w:rPr>
        <w:t>Z</w:t>
      </w:r>
      <w:r w:rsidRPr="002A5B73">
        <w:rPr>
          <w:rFonts w:eastAsia="Calibri" w:cs="Times New Roman"/>
          <w:i/>
          <w:vertAlign w:val="subscript"/>
          <w:lang w:eastAsia="en-AU"/>
        </w:rPr>
        <w:t>obs</w:t>
      </w:r>
      <w:proofErr w:type="spellEnd"/>
      <w:r w:rsidRPr="002A5B73">
        <w:rPr>
          <w:rFonts w:eastAsia="Calibri" w:cs="Times New Roman"/>
          <w:i/>
          <w:lang w:eastAsia="en-AU"/>
        </w:rPr>
        <w:t>=0.565, ns) to show discrimination. Finally, the metric created as the ‘connectedness composite’ is uninterpretable.</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lang w:eastAsia="en-AU"/>
        </w:rPr>
      </w:pPr>
      <w:r w:rsidRPr="002A5B73">
        <w:rPr>
          <w:rFonts w:eastAsia="Calibri" w:cs="Times New Roman"/>
          <w:b/>
          <w:lang w:eastAsia="en-AU"/>
        </w:rPr>
        <w:t>Fabian:</w:t>
      </w:r>
      <w:r w:rsidRPr="002A5B73">
        <w:rPr>
          <w:rFonts w:eastAsia="Calibri" w:cs="Times New Roman"/>
          <w:lang w:eastAsia="en-AU"/>
        </w:rPr>
        <w:t xml:space="preserve"> I would also disagree with your characterisation of </w:t>
      </w:r>
      <w:proofErr w:type="spellStart"/>
      <w:r w:rsidRPr="002A5B73">
        <w:rPr>
          <w:rFonts w:eastAsia="Calibri" w:cs="Times New Roman"/>
          <w:lang w:eastAsia="en-AU"/>
        </w:rPr>
        <w:t>hedonia</w:t>
      </w:r>
      <w:proofErr w:type="spellEnd"/>
      <w:r w:rsidRPr="002A5B73">
        <w:rPr>
          <w:rFonts w:eastAsia="Calibri" w:cs="Times New Roman"/>
          <w:lang w:eastAsia="en-AU"/>
        </w:rPr>
        <w:t xml:space="preserve"> as being contained by affect, mood, and emotion. </w:t>
      </w:r>
      <w:proofErr w:type="spellStart"/>
      <w:r w:rsidRPr="002A5B73">
        <w:rPr>
          <w:rFonts w:eastAsia="Calibri" w:cs="Times New Roman"/>
          <w:lang w:eastAsia="en-AU"/>
        </w:rPr>
        <w:t>Hedonia</w:t>
      </w:r>
      <w:proofErr w:type="spellEnd"/>
      <w:r w:rsidRPr="002A5B73">
        <w:rPr>
          <w:rFonts w:eastAsia="Calibri" w:cs="Times New Roman"/>
          <w:lang w:eastAsia="en-AU"/>
        </w:rPr>
        <w:t xml:space="preserve"> also incorporates </w:t>
      </w:r>
      <w:r w:rsidRPr="002A5B73">
        <w:rPr>
          <w:rFonts w:eastAsia="Calibri" w:cs="Times New Roman"/>
          <w:i/>
          <w:iCs/>
          <w:lang w:eastAsia="en-AU"/>
        </w:rPr>
        <w:t>evaluations</w:t>
      </w:r>
      <w:r w:rsidRPr="002A5B73">
        <w:rPr>
          <w:rFonts w:eastAsia="Calibri" w:cs="Times New Roman"/>
          <w:lang w:eastAsia="en-AU"/>
        </w:rPr>
        <w:t xml:space="preserve"> of whether life is </w:t>
      </w:r>
      <w:r w:rsidRPr="002A5B73">
        <w:rPr>
          <w:rFonts w:eastAsia="Calibri" w:cs="Times New Roman"/>
          <w:i/>
          <w:iCs/>
          <w:lang w:eastAsia="en-AU"/>
        </w:rPr>
        <w:t>pleasant</w:t>
      </w:r>
      <w:r w:rsidRPr="002A5B73">
        <w:rPr>
          <w:rFonts w:eastAsia="Calibri" w:cs="Times New Roman"/>
          <w:lang w:eastAsia="en-AU"/>
        </w:rPr>
        <w:t xml:space="preserve">. These can be distinguished from evaluations of whether life is </w:t>
      </w:r>
      <w:r w:rsidRPr="002A5B73">
        <w:rPr>
          <w:rFonts w:eastAsia="Calibri" w:cs="Times New Roman"/>
          <w:i/>
          <w:iCs/>
          <w:lang w:eastAsia="en-AU"/>
        </w:rPr>
        <w:t>fulfilling</w:t>
      </w:r>
      <w:r w:rsidRPr="002A5B73">
        <w:rPr>
          <w:rFonts w:eastAsia="Calibri" w:cs="Times New Roman"/>
          <w:lang w:eastAsia="en-AU"/>
        </w:rPr>
        <w:t xml:space="preserve"> or </w:t>
      </w:r>
      <w:r w:rsidRPr="002A5B73">
        <w:rPr>
          <w:rFonts w:eastAsia="Calibri" w:cs="Times New Roman"/>
          <w:i/>
          <w:iCs/>
          <w:lang w:eastAsia="en-AU"/>
        </w:rPr>
        <w:t>valuable</w:t>
      </w:r>
      <w:r w:rsidRPr="002A5B73">
        <w:rPr>
          <w:rFonts w:eastAsia="Calibri" w:cs="Times New Roman"/>
          <w:lang w:eastAsia="en-AU"/>
        </w:rPr>
        <w:t xml:space="preserve">, that is from existential satisfaction. By way of a simple illustration, one can conceive of individuals who judge their lives as pleasant and who are typically in a good mood but experience disquiet as a result of not knowing what they should do with their life or whether they are a good person. This state is common among young professionals. Affect might be symptomatic of these deeper issues, but conceptualising wellbeing as corresponding to these symptoms </w:t>
      </w:r>
      <w:r w:rsidRPr="002A5B73">
        <w:rPr>
          <w:rFonts w:eastAsia="Calibri" w:cs="Times New Roman"/>
          <w:lang w:eastAsia="en-AU"/>
        </w:rPr>
        <w:lastRenderedPageBreak/>
        <w:t xml:space="preserve">rather than their causes is erroneous. Elevating mood by chemical or behavioural means would not cure the underlying issue even though it would remove the symptoms. This is eloquently explored in </w:t>
      </w:r>
      <w:r w:rsidRPr="002A5B73">
        <w:rPr>
          <w:rFonts w:eastAsia="Calibri" w:cs="Times New Roman"/>
          <w:i/>
          <w:iCs/>
          <w:lang w:eastAsia="en-AU"/>
        </w:rPr>
        <w:t>Brave New World. </w:t>
      </w:r>
      <w:r w:rsidRPr="002A5B73">
        <w:rPr>
          <w:rFonts w:eastAsia="Calibri" w:cs="Times New Roman"/>
          <w:lang w:eastAsia="en-AU"/>
        </w:rPr>
        <w:t xml:space="preserve">The </w:t>
      </w:r>
      <w:proofErr w:type="spellStart"/>
      <w:r w:rsidRPr="002A5B73">
        <w:rPr>
          <w:rFonts w:eastAsia="Calibri" w:cs="Times New Roman"/>
          <w:lang w:eastAsia="en-AU"/>
        </w:rPr>
        <w:t>eudaimonic</w:t>
      </w:r>
      <w:proofErr w:type="spellEnd"/>
      <w:r w:rsidRPr="002A5B73">
        <w:rPr>
          <w:rFonts w:eastAsia="Calibri" w:cs="Times New Roman"/>
          <w:lang w:eastAsia="en-AU"/>
        </w:rPr>
        <w:t xml:space="preserve"> notion that well-being consists at least in part in </w:t>
      </w:r>
      <w:r w:rsidRPr="002A5B73">
        <w:rPr>
          <w:rFonts w:eastAsia="Calibri" w:cs="Times New Roman"/>
          <w:i/>
          <w:iCs/>
          <w:lang w:eastAsia="en-AU"/>
        </w:rPr>
        <w:t xml:space="preserve">living well </w:t>
      </w:r>
      <w:r w:rsidRPr="002A5B73">
        <w:rPr>
          <w:rFonts w:eastAsia="Calibri" w:cs="Times New Roman"/>
          <w:lang w:eastAsia="en-AU"/>
        </w:rPr>
        <w:t xml:space="preserve">as opposed to </w:t>
      </w:r>
      <w:r w:rsidRPr="002A5B73">
        <w:rPr>
          <w:rFonts w:eastAsia="Calibri" w:cs="Times New Roman"/>
          <w:i/>
          <w:iCs/>
          <w:lang w:eastAsia="en-AU"/>
        </w:rPr>
        <w:t xml:space="preserve">being well </w:t>
      </w:r>
      <w:r w:rsidRPr="002A5B73">
        <w:rPr>
          <w:rFonts w:eastAsia="Calibri" w:cs="Times New Roman"/>
          <w:lang w:eastAsia="en-AU"/>
        </w:rPr>
        <w:t xml:space="preserve">is helpful here. </w:t>
      </w:r>
      <w:proofErr w:type="spellStart"/>
      <w:r w:rsidRPr="002A5B73">
        <w:rPr>
          <w:rFonts w:eastAsia="Calibri" w:cs="Times New Roman"/>
          <w:lang w:eastAsia="en-AU"/>
        </w:rPr>
        <w:t>Haybron</w:t>
      </w:r>
      <w:proofErr w:type="spellEnd"/>
      <w:r w:rsidRPr="002A5B73">
        <w:rPr>
          <w:rFonts w:eastAsia="Calibri" w:cs="Times New Roman"/>
          <w:lang w:eastAsia="en-AU"/>
        </w:rPr>
        <w:t xml:space="preserve"> would also dispute your definition because it omits the issue of emotional and affective </w:t>
      </w:r>
      <w:r w:rsidRPr="002A5B73">
        <w:rPr>
          <w:rFonts w:eastAsia="Calibri" w:cs="Times New Roman"/>
          <w:i/>
          <w:iCs/>
          <w:lang w:eastAsia="en-AU"/>
        </w:rPr>
        <w:t>disposition</w:t>
      </w:r>
      <w:r w:rsidRPr="002A5B73">
        <w:rPr>
          <w:rFonts w:eastAsia="Calibri" w:cs="Times New Roman"/>
          <w:lang w:eastAsia="en-AU"/>
        </w:rPr>
        <w:t>, that is, how likely someone is to fall into certain moods. If you remove someone who is prone to panic attacks from environments that give them such attacks, their emotional state might improve, but you have again not addressed the underlying issue, which concerns why they are prone to panic attacks.  </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lang w:eastAsia="en-AU"/>
        </w:rPr>
      </w:pPr>
      <w:r w:rsidRPr="002A5B73">
        <w:rPr>
          <w:rFonts w:eastAsia="Calibri" w:cs="Times New Roman"/>
          <w:lang w:eastAsia="en-AU"/>
        </w:rPr>
        <w:t xml:space="preserve">Finally, perhaps I have misunderstood, </w:t>
      </w:r>
      <w:r w:rsidRPr="002A5B73">
        <w:rPr>
          <w:rFonts w:eastAsia="Calibri" w:cs="Times New Roman"/>
          <w:u w:val="single"/>
          <w:lang w:eastAsia="en-AU"/>
        </w:rPr>
        <w:t>but I don't see how liberal concerns become at all "redundant in the face of an intervention based on understanding the scientific composition and psychological management of SWB".</w:t>
      </w:r>
      <w:r w:rsidRPr="002A5B73">
        <w:rPr>
          <w:rFonts w:eastAsia="Calibri" w:cs="Times New Roman"/>
          <w:lang w:eastAsia="en-AU"/>
        </w:rPr>
        <w:t xml:space="preserve"> </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i/>
          <w:lang w:eastAsia="en-AU"/>
        </w:rPr>
      </w:pPr>
      <w:r w:rsidRPr="002A5B73">
        <w:rPr>
          <w:rFonts w:eastAsia="Calibri" w:cs="Times New Roman"/>
          <w:i/>
          <w:u w:val="single"/>
          <w:lang w:eastAsia="en-AU"/>
        </w:rPr>
        <w:t>5. Cummins</w:t>
      </w:r>
      <w:r w:rsidRPr="002A5B73">
        <w:rPr>
          <w:rFonts w:eastAsia="Calibri" w:cs="Times New Roman"/>
          <w:i/>
          <w:lang w:eastAsia="en-AU"/>
        </w:rPr>
        <w:t>:</w:t>
      </w:r>
      <w:r w:rsidRPr="002A5B73">
        <w:rPr>
          <w:rFonts w:eastAsia="Times New Roman" w:cs="Times New Roman"/>
          <w:i/>
          <w:lang w:val="en-GB" w:eastAsia="en-GB" w:bidi="en-GB"/>
        </w:rPr>
        <w:t xml:space="preserve"> My comment links to </w:t>
      </w:r>
      <w:r w:rsidRPr="002A5B73">
        <w:rPr>
          <w:rFonts w:eastAsia="Calibri" w:cs="Times New Roman"/>
          <w:i/>
          <w:lang w:eastAsia="en-AU" w:bidi="en-GB"/>
        </w:rPr>
        <w:t xml:space="preserve">“Evans’ philosophic opposition to government interventions rests on a </w:t>
      </w:r>
      <w:proofErr w:type="spellStart"/>
      <w:r w:rsidRPr="002A5B73">
        <w:rPr>
          <w:rFonts w:eastAsia="Calibri" w:cs="Times New Roman"/>
          <w:i/>
          <w:lang w:eastAsia="en-AU" w:bidi="en-GB"/>
        </w:rPr>
        <w:t>eudaimonic</w:t>
      </w:r>
      <w:proofErr w:type="spellEnd"/>
      <w:r w:rsidRPr="002A5B73">
        <w:rPr>
          <w:rFonts w:eastAsia="Calibri" w:cs="Times New Roman"/>
          <w:i/>
          <w:lang w:eastAsia="en-AU" w:bidi="en-GB"/>
        </w:rPr>
        <w:t xml:space="preserve"> concern by “policy-makers … that  a citizen's religious, spiritual or ethical beliefs are their own private business … [and that] attempts by governments to impose one [</w:t>
      </w:r>
      <w:proofErr w:type="spellStart"/>
      <w:r w:rsidRPr="002A5B73">
        <w:rPr>
          <w:rFonts w:eastAsia="Calibri" w:cs="Times New Roman"/>
          <w:i/>
          <w:lang w:eastAsia="en-AU" w:bidi="en-GB"/>
        </w:rPr>
        <w:t>eudaimonic</w:t>
      </w:r>
      <w:proofErr w:type="spellEnd"/>
      <w:r w:rsidRPr="002A5B73">
        <w:rPr>
          <w:rFonts w:eastAsia="Calibri" w:cs="Times New Roman"/>
          <w:i/>
          <w:lang w:eastAsia="en-AU" w:bidi="en-GB"/>
        </w:rPr>
        <w:t xml:space="preserve">] conception could easily degenerate into the sort of illiberal totalitarianism”. This opposition melts away if the intervention avoids </w:t>
      </w:r>
      <w:proofErr w:type="spellStart"/>
      <w:r w:rsidRPr="002A5B73">
        <w:rPr>
          <w:rFonts w:eastAsia="Calibri" w:cs="Times New Roman"/>
          <w:i/>
          <w:lang w:eastAsia="en-AU" w:bidi="en-GB"/>
        </w:rPr>
        <w:t>eudaimonic</w:t>
      </w:r>
      <w:proofErr w:type="spellEnd"/>
      <w:r w:rsidRPr="002A5B73">
        <w:rPr>
          <w:rFonts w:eastAsia="Calibri" w:cs="Times New Roman"/>
          <w:i/>
          <w:lang w:eastAsia="en-AU" w:bidi="en-GB"/>
        </w:rPr>
        <w:t xml:space="preserve"> aspects, and concerns only on the provision of sufficient resources to allow each individual to achieve homeostatic control of their SWB. </w:t>
      </w:r>
      <w:r w:rsidRPr="002A5B73">
        <w:rPr>
          <w:rFonts w:eastAsia="Calibri" w:cs="Times New Roman"/>
          <w:i/>
          <w:lang w:val="en-GB" w:eastAsia="en-AU" w:bidi="en-GB"/>
        </w:rPr>
        <w:t xml:space="preserve">It is interesting that key resources to achieve this are, unfortunately, also the hardest for governments to provide: sufficient money, an activity providing a sense of purpose, and an emotionally intimate relationship </w:t>
      </w:r>
      <w:r w:rsidRPr="002A5B73">
        <w:rPr>
          <w:rFonts w:eastAsia="Calibri" w:cs="Times New Roman"/>
          <w:i/>
          <w:lang w:val="en-GB" w:eastAsia="en-AU" w:bidi="en-GB"/>
        </w:rPr>
        <w:fldChar w:fldCharType="begin"/>
      </w:r>
      <w:r w:rsidRPr="002A5B73">
        <w:rPr>
          <w:rFonts w:eastAsia="Calibri" w:cs="Times New Roman"/>
          <w:i/>
          <w:lang w:val="en-GB" w:eastAsia="en-AU" w:bidi="en-GB"/>
        </w:rPr>
        <w:instrText xml:space="preserve"> ADDIN EN.CITE &lt;EndNote&gt;&lt;Cite&gt;&lt;Author&gt;Cummins&lt;/Author&gt;&lt;Year&gt;2018c&lt;/Year&gt;&lt;RecNum&gt;3143&lt;/RecNum&gt;&lt;DisplayText&gt;(Cummins, 2018c)&lt;/DisplayText&gt;&lt;record&gt;&lt;rec-number&gt;3143&lt;/rec-number&gt;&lt;foreign-keys&gt;&lt;key app="EN" db-id="z2xarpe9cfrvp4ezdxk5ddx9dsrzr05f22sa" timestamp="1498726772"&gt;3143&lt;/key&gt;&lt;/foreign-keys&gt;&lt;ref-type name="Journal Article"&gt;17&lt;/ref-type&gt;&lt;contributors&gt;&lt;authors&gt;&lt;author&gt;Cummins, R. A.&lt;/author&gt;&lt;/authors&gt;&lt;/contributors&gt;&lt;titles&gt;&lt;title&gt;The Golden Triangle of Happiness: Essential resources for a happy family&lt;/title&gt;&lt;secondary-title&gt;International Journal of Child, Youth &amp;amp; Family Studies&lt;/secondary-title&gt;&lt;/titles&gt;&lt;periodical&gt;&lt;full-title&gt;International Journal of Child, Youth &amp;amp; Family Studies&lt;/full-title&gt;&lt;/periodical&gt;&lt;pages&gt;12–39&lt;/pages&gt;&lt;volume&gt;9&lt;/volume&gt;&lt;number&gt;4&lt;/number&gt;&lt;dates&gt;&lt;year&gt;2018c&lt;/year&gt;&lt;/dates&gt;&lt;urls&gt;&lt;/urls&gt;&lt;/record&gt;&lt;/Cite&gt;&lt;/EndNote&gt;</w:instrText>
      </w:r>
      <w:r w:rsidRPr="002A5B73">
        <w:rPr>
          <w:rFonts w:eastAsia="Calibri" w:cs="Times New Roman"/>
          <w:i/>
          <w:lang w:val="en-GB" w:eastAsia="en-AU" w:bidi="en-GB"/>
        </w:rPr>
        <w:fldChar w:fldCharType="separate"/>
      </w:r>
      <w:r w:rsidRPr="002A5B73">
        <w:rPr>
          <w:rFonts w:eastAsia="Calibri" w:cs="Times New Roman"/>
          <w:i/>
          <w:lang w:val="en-GB" w:eastAsia="en-AU" w:bidi="en-GB"/>
        </w:rPr>
        <w:t>(Cummins, 2018c)</w:t>
      </w:r>
      <w:r w:rsidRPr="002A5B73">
        <w:rPr>
          <w:rFonts w:eastAsia="Calibri" w:cs="Times New Roman"/>
          <w:i/>
          <w:lang w:eastAsia="en-AU" w:bidi="en-GB"/>
        </w:rPr>
        <w:fldChar w:fldCharType="end"/>
      </w:r>
      <w:r w:rsidRPr="002A5B73">
        <w:rPr>
          <w:rFonts w:eastAsia="Calibri" w:cs="Times New Roman"/>
          <w:i/>
          <w:lang w:val="en-GB" w:eastAsia="en-AU" w:bidi="en-GB"/>
        </w:rPr>
        <w:t>.</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lang w:eastAsia="en-AU"/>
        </w:rPr>
      </w:pPr>
      <w:r w:rsidRPr="002A5B73">
        <w:rPr>
          <w:rFonts w:eastAsia="Calibri" w:cs="Times New Roman"/>
          <w:b/>
          <w:lang w:eastAsia="en-AU"/>
        </w:rPr>
        <w:t>Fabian:</w:t>
      </w:r>
      <w:r w:rsidRPr="002A5B73">
        <w:rPr>
          <w:rFonts w:eastAsia="Calibri" w:cs="Times New Roman"/>
          <w:lang w:eastAsia="en-AU"/>
        </w:rPr>
        <w:t xml:space="preserve"> You said, for example, that governments should aim to help people suffering homeostatic defeat by means of purpose and intimacy. </w:t>
      </w:r>
      <w:r w:rsidRPr="002A5B73">
        <w:rPr>
          <w:rFonts w:eastAsia="Calibri" w:cs="Times New Roman"/>
          <w:u w:val="single"/>
          <w:lang w:eastAsia="en-AU"/>
        </w:rPr>
        <w:t>How can a government provide someone with a "purposeful" activity without making value judgements?</w:t>
      </w:r>
      <w:r w:rsidRPr="002A5B73">
        <w:rPr>
          <w:rFonts w:eastAsia="Calibri" w:cs="Times New Roman"/>
          <w:lang w:eastAsia="en-AU"/>
        </w:rPr>
        <w:t xml:space="preserve"> </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i/>
          <w:lang w:eastAsia="en-AU"/>
        </w:rPr>
      </w:pPr>
      <w:r w:rsidRPr="002A5B73">
        <w:rPr>
          <w:rFonts w:eastAsia="Calibri" w:cs="Times New Roman"/>
          <w:i/>
          <w:lang w:eastAsia="en-AU"/>
        </w:rPr>
        <w:t>6. Cummins: There are various ways such as. (a) by ensuring full employment for those people who seek paid work; (b) by ensuring that people who become parents, or who separate/divorce,  receive a sufficient level of financial assistance such that their standard of living is maintained; (c) by encouraging employers to re-employ those who left</w:t>
      </w:r>
      <w:r w:rsidR="00106FE9">
        <w:rPr>
          <w:rFonts w:eastAsia="Calibri" w:cs="Times New Roman"/>
          <w:i/>
          <w:lang w:eastAsia="en-AU"/>
        </w:rPr>
        <w:t xml:space="preserve"> due to health concerns,</w:t>
      </w:r>
      <w:r w:rsidRPr="002A5B73">
        <w:rPr>
          <w:rFonts w:eastAsia="Calibri" w:cs="Times New Roman"/>
          <w:i/>
          <w:lang w:eastAsia="en-AU"/>
        </w:rPr>
        <w:t xml:space="preserve"> to engage in child care</w:t>
      </w:r>
      <w:r w:rsidR="00106FE9">
        <w:rPr>
          <w:rFonts w:eastAsia="Calibri" w:cs="Times New Roman"/>
          <w:i/>
          <w:lang w:eastAsia="en-AU"/>
        </w:rPr>
        <w:t xml:space="preserve">, </w:t>
      </w:r>
      <w:proofErr w:type="spellStart"/>
      <w:r w:rsidR="00106FE9">
        <w:rPr>
          <w:rFonts w:eastAsia="Calibri" w:cs="Times New Roman"/>
          <w:i/>
          <w:lang w:eastAsia="en-AU"/>
        </w:rPr>
        <w:t>etc</w:t>
      </w:r>
      <w:proofErr w:type="spellEnd"/>
      <w:r w:rsidRPr="002A5B73">
        <w:rPr>
          <w:rFonts w:eastAsia="Calibri" w:cs="Times New Roman"/>
          <w:i/>
          <w:lang w:eastAsia="en-AU"/>
        </w:rPr>
        <w:t>; (d) by encouraging volunteer activities;</w:t>
      </w:r>
      <w:r w:rsidR="00106FE9">
        <w:rPr>
          <w:rFonts w:eastAsia="Calibri" w:cs="Times New Roman"/>
          <w:i/>
          <w:lang w:eastAsia="en-AU"/>
        </w:rPr>
        <w:t xml:space="preserve"> (e) by appropriately resourcing people who have a disability;</w:t>
      </w:r>
      <w:r w:rsidRPr="002A5B73">
        <w:rPr>
          <w:rFonts w:eastAsia="Calibri" w:cs="Times New Roman"/>
          <w:i/>
          <w:lang w:eastAsia="en-AU"/>
        </w:rPr>
        <w:t xml:space="preserve"> etc. The assumption, in these examples, is that people who have the resources to maintain normal levels of SWB will choose a form of ‘purposeful activity’ consistent with their own beliefs and values. </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lang w:eastAsia="en-AU"/>
        </w:rPr>
      </w:pPr>
      <w:r w:rsidRPr="002A5B73">
        <w:rPr>
          <w:rFonts w:eastAsia="Calibri" w:cs="Times New Roman"/>
          <w:lang w:eastAsia="en-AU"/>
        </w:rPr>
        <w:t xml:space="preserve">Purposeless implies that something has no point; a point is something worthwhile, and "worthwhile" implies a value judgement. There seems an obvious case here for liberal oversight to ensure value pluralism is respected. Ironically, I suspect that any liberal approach to such interventions would involve respecting autonomy and helping people to unearth intrinsic motivations. This would land you in the middle of Ryan and Deci's </w:t>
      </w:r>
      <w:proofErr w:type="spellStart"/>
      <w:r w:rsidRPr="002A5B73">
        <w:rPr>
          <w:rFonts w:eastAsia="Calibri" w:cs="Times New Roman"/>
          <w:lang w:eastAsia="en-AU"/>
        </w:rPr>
        <w:t>eudaimonic</w:t>
      </w:r>
      <w:proofErr w:type="spellEnd"/>
      <w:r w:rsidRPr="002A5B73">
        <w:rPr>
          <w:rFonts w:eastAsia="Calibri" w:cs="Times New Roman"/>
          <w:lang w:eastAsia="en-AU"/>
        </w:rPr>
        <w:t xml:space="preserve"> perspective on wellbeing. </w:t>
      </w:r>
    </w:p>
    <w:p w:rsidR="002A5B73" w:rsidRDefault="002A5B73" w:rsidP="002A5B73">
      <w:pPr>
        <w:rPr>
          <w:rFonts w:eastAsia="Calibri" w:cs="Times New Roman"/>
          <w:lang w:eastAsia="en-AU"/>
        </w:rPr>
      </w:pPr>
    </w:p>
    <w:p w:rsidR="002A5B73" w:rsidRPr="002A5B73" w:rsidRDefault="002A5B73" w:rsidP="002A5B73">
      <w:pPr>
        <w:rPr>
          <w:rFonts w:eastAsia="Calibri" w:cs="Times New Roman"/>
          <w:b/>
          <w:sz w:val="22"/>
          <w:szCs w:val="22"/>
          <w:lang w:eastAsia="en-AU"/>
        </w:rPr>
      </w:pPr>
      <w:r w:rsidRPr="002A5B73">
        <w:rPr>
          <w:rFonts w:eastAsia="Calibri" w:cs="Times New Roman"/>
          <w:b/>
          <w:sz w:val="22"/>
          <w:szCs w:val="22"/>
          <w:lang w:eastAsia="en-AU"/>
        </w:rPr>
        <w:t xml:space="preserve">References are </w:t>
      </w:r>
      <w:r>
        <w:rPr>
          <w:rFonts w:eastAsia="Calibri" w:cs="Times New Roman"/>
          <w:b/>
          <w:sz w:val="22"/>
          <w:szCs w:val="22"/>
          <w:lang w:eastAsia="en-AU"/>
        </w:rPr>
        <w:t>located</w:t>
      </w:r>
      <w:r w:rsidRPr="002A5B73">
        <w:rPr>
          <w:rFonts w:eastAsia="Calibri" w:cs="Times New Roman"/>
          <w:b/>
          <w:sz w:val="22"/>
          <w:szCs w:val="22"/>
          <w:lang w:eastAsia="en-AU"/>
        </w:rPr>
        <w:t xml:space="preserve"> at the end of the Bulletin</w:t>
      </w:r>
    </w:p>
    <w:p w:rsidR="00411B9B" w:rsidRPr="00BB5D46" w:rsidRDefault="00411B9B" w:rsidP="00411B9B">
      <w:pPr>
        <w:jc w:val="center"/>
        <w:rPr>
          <w:rFonts w:eastAsia="Arial" w:cs="Times New Roman"/>
          <w:i/>
        </w:rPr>
      </w:pPr>
    </w:p>
    <w:p w:rsidR="00411B9B" w:rsidRPr="00BB5D46" w:rsidRDefault="00411B9B" w:rsidP="00411B9B">
      <w:pPr>
        <w:jc w:val="center"/>
        <w:rPr>
          <w:rFonts w:eastAsia="Arial" w:cs="Times New Roman"/>
          <w:i/>
        </w:rPr>
      </w:pPr>
      <w:r w:rsidRPr="00BB5D46">
        <w:rPr>
          <w:rFonts w:eastAsia="Arial" w:cs="Times New Roman"/>
          <w:i/>
        </w:rPr>
        <w:t xml:space="preserve">Further discussion of </w:t>
      </w:r>
      <w:r w:rsidR="00B73A75">
        <w:rPr>
          <w:rFonts w:eastAsia="Arial" w:cs="Times New Roman"/>
          <w:i/>
        </w:rPr>
        <w:t>this topic,</w:t>
      </w:r>
      <w:r w:rsidRPr="00BB5D46">
        <w:rPr>
          <w:rFonts w:eastAsia="Arial" w:cs="Times New Roman"/>
          <w:i/>
        </w:rPr>
        <w:t xml:space="preserve"> for circulation to members, is invited. Send to: </w:t>
      </w:r>
      <w:hyperlink r:id="rId100" w:history="1">
        <w:r w:rsidRPr="00BB5D46">
          <w:rPr>
            <w:rFonts w:eastAsia="Arial" w:cs="Times New Roman"/>
            <w:i/>
            <w:color w:val="0563C1"/>
            <w:u w:val="single"/>
          </w:rPr>
          <w:t>robert.cummins@deakin.edu.au</w:t>
        </w:r>
      </w:hyperlink>
    </w:p>
    <w:p w:rsidR="00411B9B" w:rsidRPr="00BB5D46" w:rsidRDefault="00411B9B" w:rsidP="00411B9B">
      <w:pPr>
        <w:jc w:val="center"/>
        <w:rPr>
          <w:rFonts w:eastAsia="Arial" w:cs="Times New Roman"/>
          <w:i/>
        </w:rPr>
      </w:pPr>
      <w:r w:rsidRPr="00BB5D46">
        <w:rPr>
          <w:rFonts w:eastAsia="Arial" w:cs="Times New Roman"/>
          <w:i/>
        </w:rPr>
        <w:lastRenderedPageBreak/>
        <w:t xml:space="preserve">Substantive comments received by midnight on </w:t>
      </w:r>
      <w:r w:rsidRPr="002A5B73">
        <w:rPr>
          <w:rFonts w:eastAsia="Arial" w:cs="Times New Roman"/>
          <w:i/>
        </w:rPr>
        <w:t xml:space="preserve">Monday </w:t>
      </w:r>
      <w:r w:rsidR="002A5B73" w:rsidRPr="002A5B73">
        <w:rPr>
          <w:rFonts w:eastAsia="Arial" w:cs="Times New Roman"/>
          <w:i/>
        </w:rPr>
        <w:t>16</w:t>
      </w:r>
      <w:r w:rsidR="002A5B73" w:rsidRPr="002A5B73">
        <w:rPr>
          <w:rFonts w:eastAsia="Arial" w:cs="Times New Roman"/>
          <w:i/>
          <w:vertAlign w:val="superscript"/>
        </w:rPr>
        <w:t>th</w:t>
      </w:r>
      <w:r w:rsidR="002A5B73" w:rsidRPr="002A5B73">
        <w:rPr>
          <w:rFonts w:eastAsia="Arial" w:cs="Times New Roman"/>
          <w:i/>
        </w:rPr>
        <w:t xml:space="preserve"> September</w:t>
      </w:r>
      <w:r w:rsidRPr="002A5B73">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411B9B" w:rsidRDefault="00411B9B" w:rsidP="00411B9B">
      <w:pPr>
        <w:rPr>
          <w:rFonts w:eastAsia="Arial" w:cs="Times New Roman"/>
          <w:i/>
        </w:rPr>
      </w:pPr>
    </w:p>
    <w:p w:rsidR="00411B9B" w:rsidRPr="00BB5D46" w:rsidRDefault="00411B9B" w:rsidP="00411B9B">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w:t>
      </w:r>
      <w:r>
        <w:rPr>
          <w:rFonts w:eastAsia="Arial" w:cs="Times New Roman"/>
          <w:i/>
        </w:rPr>
        <w:t>, queries or comments,</w:t>
      </w:r>
      <w:r w:rsidRPr="00BB5D46">
        <w:rPr>
          <w:rFonts w:eastAsia="Arial" w:cs="Times New Roman"/>
          <w:i/>
        </w:rPr>
        <w:t xml:space="preserve"> on the topic of life quality, for distribution and discussion by members under these same conditions.</w:t>
      </w:r>
    </w:p>
    <w:p w:rsidR="00411B9B" w:rsidRPr="00BB5D46" w:rsidRDefault="00411B9B" w:rsidP="00106FE9">
      <w:pPr>
        <w:rPr>
          <w:rFonts w:eastAsia="Calibri" w:cs="Times New Roman"/>
          <w:i/>
          <w:szCs w:val="22"/>
        </w:rPr>
      </w:pPr>
    </w:p>
    <w:p w:rsidR="00411B9B" w:rsidRDefault="00411B9B" w:rsidP="00411B9B">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411B9B" w:rsidRDefault="00411B9B" w:rsidP="00411B9B">
      <w:pPr>
        <w:jc w:val="center"/>
        <w:rPr>
          <w:rFonts w:eastAsia="Arial" w:cs="Times New Roman"/>
          <w:i/>
          <w:sz w:val="22"/>
          <w:szCs w:val="22"/>
        </w:rPr>
      </w:pPr>
      <w:r w:rsidRPr="008C2032">
        <w:rPr>
          <w:rFonts w:eastAsia="Arial" w:cs="Times New Roman"/>
          <w:i/>
          <w:sz w:val="22"/>
          <w:szCs w:val="22"/>
        </w:rPr>
        <w:t>Tanja Capic &lt;tanja.capic@deakin.edu.au&gt;</w:t>
      </w:r>
    </w:p>
    <w:p w:rsidR="00411B9B" w:rsidRPr="008C2032" w:rsidRDefault="00411B9B" w:rsidP="00411B9B">
      <w:pPr>
        <w:jc w:val="center"/>
        <w:rPr>
          <w:rFonts w:eastAsia="Arial" w:cs="Times New Roman"/>
          <w:i/>
          <w:sz w:val="22"/>
          <w:szCs w:val="22"/>
        </w:rPr>
      </w:pPr>
      <w:proofErr w:type="spellStart"/>
      <w:r>
        <w:rPr>
          <w:rFonts w:eastAsia="Arial" w:cs="Times New Roman"/>
          <w:i/>
          <w:sz w:val="22"/>
          <w:szCs w:val="22"/>
        </w:rPr>
        <w:t>WebMaster</w:t>
      </w:r>
      <w:proofErr w:type="spellEnd"/>
    </w:p>
    <w:p w:rsidR="00057433" w:rsidRDefault="00057433" w:rsidP="00411B9B">
      <w:pPr>
        <w:jc w:val="center"/>
        <w:rPr>
          <w:rFonts w:ascii="Times" w:hAnsi="Times"/>
        </w:rPr>
      </w:pPr>
    </w:p>
    <w:p w:rsidR="00057433" w:rsidRDefault="00057433" w:rsidP="00411B9B">
      <w:pPr>
        <w:jc w:val="center"/>
        <w:rPr>
          <w:rFonts w:eastAsia="Times New Roman" w:cs="Times New Roman"/>
          <w:lang w:val="en-US"/>
        </w:rPr>
      </w:pPr>
      <w:r>
        <w:rPr>
          <w:rFonts w:ascii="Times" w:hAnsi="Times"/>
        </w:rPr>
        <w:t>Australian Unity Wellbeing Index: Report 35.1</w:t>
      </w:r>
      <w:r w:rsidR="00CE2E03">
        <w:rPr>
          <w:rFonts w:ascii="Times" w:hAnsi="Times"/>
        </w:rPr>
        <w:t xml:space="preserve"> </w:t>
      </w:r>
      <w:r w:rsidRPr="000F4CBF">
        <w:rPr>
          <w:rFonts w:ascii="Times" w:hAnsi="Times"/>
        </w:rPr>
        <w:t>‘</w:t>
      </w:r>
      <w:r w:rsidR="00CE2E03" w:rsidRPr="00CE2E03">
        <w:rPr>
          <w:rFonts w:ascii="Times" w:eastAsia="Calibri" w:hAnsi="Times" w:cs="Arial"/>
          <w:i/>
          <w:iCs/>
          <w:szCs w:val="22"/>
        </w:rPr>
        <w:t>Ageing Well: Healthy Transitions to Retirement</w:t>
      </w:r>
      <w:r w:rsidR="00CE2E03">
        <w:rPr>
          <w:rFonts w:ascii="Times" w:eastAsia="Calibri" w:hAnsi="Times" w:cs="Arial"/>
          <w:i/>
          <w:iCs/>
          <w:szCs w:val="22"/>
        </w:rPr>
        <w:t>’</w:t>
      </w:r>
      <w:r>
        <w:rPr>
          <w:rFonts w:ascii="Times" w:eastAsia="Calibri" w:hAnsi="Times" w:cs="Arial"/>
          <w:szCs w:val="22"/>
        </w:rPr>
        <w:t xml:space="preserve">, </w:t>
      </w:r>
      <w:r w:rsidR="00CE2E03">
        <w:rPr>
          <w:rFonts w:ascii="Times" w:eastAsia="Calibri" w:hAnsi="Times" w:cs="Arial"/>
          <w:szCs w:val="22"/>
        </w:rPr>
        <w:t xml:space="preserve">together with the </w:t>
      </w:r>
      <w:r w:rsidR="00CE2E03" w:rsidRPr="00EB1118">
        <w:rPr>
          <w:rFonts w:eastAsia="Times New Roman" w:cs="Times New Roman"/>
        </w:rPr>
        <w:t>data file</w:t>
      </w:r>
      <w:r w:rsidR="00CE2E03">
        <w:rPr>
          <w:rFonts w:eastAsia="Times New Roman" w:cs="Times New Roman"/>
          <w:lang w:val="en-US"/>
        </w:rPr>
        <w:t xml:space="preserve"> and </w:t>
      </w:r>
      <w:r w:rsidR="00CE2E03" w:rsidRPr="00EB1118">
        <w:rPr>
          <w:rFonts w:eastAsia="Times New Roman" w:cs="Times New Roman"/>
        </w:rPr>
        <w:t>coding map</w:t>
      </w:r>
      <w:r w:rsidR="002A5B73">
        <w:rPr>
          <w:rFonts w:eastAsia="Times New Roman" w:cs="Times New Roman"/>
        </w:rPr>
        <w:t>,</w:t>
      </w:r>
      <w:r w:rsidR="00CE2E03" w:rsidRPr="00EB1118">
        <w:rPr>
          <w:rFonts w:eastAsia="Times New Roman" w:cs="Times New Roman"/>
        </w:rPr>
        <w:t xml:space="preserve"> </w:t>
      </w:r>
      <w:r w:rsidR="00CE2E03">
        <w:rPr>
          <w:rFonts w:eastAsia="Times New Roman" w:cs="Times New Roman"/>
        </w:rPr>
        <w:t>are</w:t>
      </w:r>
      <w:r>
        <w:rPr>
          <w:rFonts w:ascii="Times" w:eastAsia="Calibri" w:hAnsi="Times" w:cs="Arial"/>
          <w:szCs w:val="22"/>
        </w:rPr>
        <w:t xml:space="preserve"> available</w:t>
      </w:r>
      <w:r w:rsidRPr="00BB5D46">
        <w:rPr>
          <w:rFonts w:eastAsia="Times New Roman" w:cs="Times New Roman"/>
          <w:b/>
          <w:sz w:val="32"/>
          <w:szCs w:val="32"/>
          <w:lang w:val="en-US"/>
        </w:rPr>
        <w:t xml:space="preserve"> </w:t>
      </w:r>
      <w:r w:rsidRPr="00057433">
        <w:rPr>
          <w:rFonts w:eastAsia="Times New Roman" w:cs="Times New Roman"/>
          <w:lang w:val="en-US"/>
        </w:rPr>
        <w:t>from</w:t>
      </w:r>
      <w:r w:rsidRPr="00057433">
        <w:t xml:space="preserve"> </w:t>
      </w:r>
      <w:hyperlink r:id="rId101" w:anchor="reports" w:history="1">
        <w:r w:rsidR="00EB1118" w:rsidRPr="00926FBE">
          <w:rPr>
            <w:rStyle w:val="Hyperlink"/>
            <w:rFonts w:eastAsia="Times New Roman" w:cs="Times New Roman"/>
            <w:lang w:val="en-US"/>
          </w:rPr>
          <w:t>http://www.acqol.com.au/publications#reports</w:t>
        </w:r>
      </w:hyperlink>
    </w:p>
    <w:p w:rsidR="00537A45" w:rsidRDefault="00537A45" w:rsidP="00EB1118">
      <w:pPr>
        <w:autoSpaceDE w:val="0"/>
        <w:autoSpaceDN w:val="0"/>
        <w:adjustRightInd w:val="0"/>
        <w:rPr>
          <w:rFonts w:cs="Times New Roman"/>
          <w:color w:val="4E67C9"/>
        </w:rPr>
      </w:pPr>
    </w:p>
    <w:p w:rsidR="006A78BA" w:rsidRPr="006A78BA" w:rsidRDefault="006A78BA" w:rsidP="006A78BA">
      <w:pPr>
        <w:autoSpaceDE w:val="0"/>
        <w:autoSpaceDN w:val="0"/>
        <w:adjustRightInd w:val="0"/>
        <w:rPr>
          <w:rFonts w:eastAsia="Calibri" w:cs="Times New Roman"/>
          <w:color w:val="4E67C9"/>
        </w:rPr>
      </w:pPr>
      <w:r w:rsidRPr="006A78BA">
        <w:rPr>
          <w:rFonts w:eastAsia="Calibri" w:cs="Times New Roman"/>
          <w:b/>
          <w:color w:val="4E67C9"/>
        </w:rPr>
        <w:t>Reference:</w:t>
      </w:r>
      <w:r w:rsidRPr="006A78BA">
        <w:rPr>
          <w:rFonts w:eastAsia="Calibri" w:cs="Times New Roman"/>
          <w:color w:val="4E67C9"/>
        </w:rPr>
        <w:t xml:space="preserve"> Khor, S., Cummins, R. A., Fuller-Tyszkiewicz, M., Capic, T., Olsson, C. A., &amp; Hutchinson, D. (2019). </w:t>
      </w:r>
      <w:r w:rsidRPr="006A78BA">
        <w:rPr>
          <w:rFonts w:eastAsia="Calibri" w:cs="Times New Roman"/>
          <w:i/>
          <w:iCs/>
          <w:color w:val="4E67C9"/>
        </w:rPr>
        <w:t>Ageing Well: Healthy Transitions to Retirement</w:t>
      </w:r>
      <w:r w:rsidRPr="006A78BA">
        <w:rPr>
          <w:rFonts w:eastAsia="Calibri" w:cs="Times New Roman"/>
          <w:color w:val="4E67C9"/>
        </w:rPr>
        <w:t>. Australian Unity Wellbeing Index: Report 35.1</w:t>
      </w:r>
      <w:r>
        <w:rPr>
          <w:rFonts w:eastAsia="Calibri" w:cs="Times New Roman"/>
          <w:color w:val="4E67C9"/>
        </w:rPr>
        <w:t>.</w:t>
      </w:r>
      <w:r w:rsidRPr="006A78BA">
        <w:rPr>
          <w:rFonts w:eastAsia="Calibri" w:cs="Times New Roman"/>
          <w:color w:val="4E67C9"/>
        </w:rPr>
        <w:t xml:space="preserve"> Geelong: Deakin University </w:t>
      </w:r>
      <w:hyperlink r:id="rId102" w:anchor="reports" w:history="1">
        <w:r w:rsidRPr="006A78BA">
          <w:rPr>
            <w:rFonts w:eastAsia="Calibri" w:cs="Times New Roman"/>
            <w:color w:val="0563C1"/>
            <w:u w:val="single"/>
          </w:rPr>
          <w:t>http://www.acqol.com.au/publications#reports</w:t>
        </w:r>
      </w:hyperlink>
      <w:r w:rsidRPr="006A78BA">
        <w:rPr>
          <w:rFonts w:eastAsia="Calibri" w:cs="Times New Roman"/>
          <w:color w:val="4E67C9"/>
        </w:rPr>
        <w:t>.</w:t>
      </w:r>
    </w:p>
    <w:p w:rsidR="00537A45" w:rsidRDefault="00537A45" w:rsidP="00EB1118">
      <w:pPr>
        <w:autoSpaceDE w:val="0"/>
        <w:autoSpaceDN w:val="0"/>
        <w:adjustRightInd w:val="0"/>
        <w:rPr>
          <w:rFonts w:cs="Times New Roman"/>
          <w:color w:val="4E67C9"/>
          <w:sz w:val="28"/>
          <w:szCs w:val="28"/>
        </w:rPr>
      </w:pPr>
    </w:p>
    <w:p w:rsidR="00EB1118" w:rsidRPr="00EB1118" w:rsidRDefault="00EB1118" w:rsidP="00EB1118">
      <w:pPr>
        <w:autoSpaceDE w:val="0"/>
        <w:autoSpaceDN w:val="0"/>
        <w:adjustRightInd w:val="0"/>
        <w:rPr>
          <w:rFonts w:cs="Times New Roman"/>
          <w:color w:val="4E67C9"/>
          <w:sz w:val="28"/>
          <w:szCs w:val="28"/>
        </w:rPr>
      </w:pPr>
      <w:r w:rsidRPr="00EB1118">
        <w:rPr>
          <w:rFonts w:cs="Times New Roman"/>
          <w:color w:val="4E67C9"/>
          <w:sz w:val="28"/>
          <w:szCs w:val="28"/>
        </w:rPr>
        <w:t>EXECUTIVE SUMMARY</w:t>
      </w:r>
    </w:p>
    <w:p w:rsidR="00EB1118" w:rsidRPr="00EB1118" w:rsidRDefault="00EB1118" w:rsidP="00EB1118">
      <w:pPr>
        <w:autoSpaceDE w:val="0"/>
        <w:autoSpaceDN w:val="0"/>
        <w:adjustRightInd w:val="0"/>
        <w:rPr>
          <w:rFonts w:cs="Times New Roman"/>
          <w:color w:val="000000"/>
        </w:rPr>
      </w:pPr>
      <w:r w:rsidRPr="00EB1118">
        <w:rPr>
          <w:rFonts w:cs="Times New Roman"/>
          <w:color w:val="000000"/>
        </w:rPr>
        <w:t>Subjectiv</w:t>
      </w:r>
      <w:r>
        <w:rPr>
          <w:rFonts w:cs="Times New Roman"/>
          <w:color w:val="000000"/>
        </w:rPr>
        <w:t xml:space="preserve">e Wellbeing (SWB) in ageing and </w:t>
      </w:r>
      <w:r w:rsidRPr="00EB1118">
        <w:rPr>
          <w:rFonts w:cs="Times New Roman"/>
          <w:color w:val="000000"/>
        </w:rPr>
        <w:t>retirement is a t</w:t>
      </w:r>
      <w:r>
        <w:rPr>
          <w:rFonts w:cs="Times New Roman"/>
          <w:color w:val="000000"/>
        </w:rPr>
        <w:t xml:space="preserve">opic of growing relevance, with </w:t>
      </w:r>
      <w:r w:rsidRPr="00EB1118">
        <w:rPr>
          <w:rFonts w:cs="Times New Roman"/>
          <w:color w:val="000000"/>
        </w:rPr>
        <w:t>more than 1 in</w:t>
      </w:r>
      <w:r>
        <w:rPr>
          <w:rFonts w:cs="Times New Roman"/>
          <w:color w:val="000000"/>
        </w:rPr>
        <w:t xml:space="preserve"> 7 Australians aged 65 years or </w:t>
      </w:r>
      <w:r w:rsidRPr="00EB1118">
        <w:rPr>
          <w:rFonts w:cs="Times New Roman"/>
          <w:color w:val="000000"/>
        </w:rPr>
        <w:t>above, an</w:t>
      </w:r>
      <w:r>
        <w:rPr>
          <w:rFonts w:cs="Times New Roman"/>
          <w:color w:val="000000"/>
        </w:rPr>
        <w:t xml:space="preserve">d more people in this age group </w:t>
      </w:r>
      <w:r w:rsidRPr="00EB1118">
        <w:rPr>
          <w:rFonts w:cs="Times New Roman"/>
          <w:color w:val="000000"/>
        </w:rPr>
        <w:t>choosing to rem</w:t>
      </w:r>
      <w:r>
        <w:rPr>
          <w:rFonts w:cs="Times New Roman"/>
          <w:color w:val="000000"/>
        </w:rPr>
        <w:t xml:space="preserve">ain in the workforce for longer </w:t>
      </w:r>
      <w:r w:rsidRPr="00EB1118">
        <w:rPr>
          <w:rFonts w:cs="Times New Roman"/>
          <w:color w:val="000000"/>
        </w:rPr>
        <w:t>periods (AIHW,</w:t>
      </w:r>
      <w:r>
        <w:rPr>
          <w:rFonts w:cs="Times New Roman"/>
          <w:color w:val="000000"/>
        </w:rPr>
        <w:t xml:space="preserve"> 2018). As individuals age, SWB </w:t>
      </w:r>
      <w:r w:rsidRPr="00EB1118">
        <w:rPr>
          <w:rFonts w:cs="Times New Roman"/>
          <w:color w:val="000000"/>
        </w:rPr>
        <w:t>becomes increas</w:t>
      </w:r>
      <w:r>
        <w:rPr>
          <w:rFonts w:cs="Times New Roman"/>
          <w:color w:val="000000"/>
        </w:rPr>
        <w:t xml:space="preserve">ingly influential on health and </w:t>
      </w:r>
      <w:r w:rsidRPr="00EB1118">
        <w:rPr>
          <w:rFonts w:cs="Times New Roman"/>
          <w:color w:val="000000"/>
        </w:rPr>
        <w:t>longevity (</w:t>
      </w:r>
      <w:proofErr w:type="spellStart"/>
      <w:r w:rsidRPr="00EB1118">
        <w:rPr>
          <w:rFonts w:cs="Times New Roman"/>
          <w:color w:val="000000"/>
        </w:rPr>
        <w:t>Diener</w:t>
      </w:r>
      <w:proofErr w:type="spellEnd"/>
      <w:r w:rsidRPr="00EB1118">
        <w:rPr>
          <w:rFonts w:cs="Times New Roman"/>
          <w:color w:val="000000"/>
        </w:rPr>
        <w:t xml:space="preserve">, </w:t>
      </w:r>
      <w:proofErr w:type="spellStart"/>
      <w:r w:rsidRPr="00EB1118">
        <w:rPr>
          <w:rFonts w:cs="Times New Roman"/>
          <w:color w:val="000000"/>
        </w:rPr>
        <w:t>Oishi</w:t>
      </w:r>
      <w:proofErr w:type="spellEnd"/>
      <w:r w:rsidRPr="00EB1118">
        <w:rPr>
          <w:rFonts w:cs="Times New Roman"/>
          <w:color w:val="000000"/>
        </w:rPr>
        <w:t xml:space="preserve">, &amp; </w:t>
      </w:r>
      <w:proofErr w:type="spellStart"/>
      <w:r w:rsidRPr="00EB1118">
        <w:rPr>
          <w:rFonts w:cs="Times New Roman"/>
          <w:color w:val="000000"/>
        </w:rPr>
        <w:t>Tay</w:t>
      </w:r>
      <w:proofErr w:type="spellEnd"/>
      <w:r w:rsidRPr="00EB1118">
        <w:rPr>
          <w:rFonts w:cs="Times New Roman"/>
          <w:color w:val="000000"/>
        </w:rPr>
        <w:t>, 2018).</w:t>
      </w:r>
    </w:p>
    <w:p w:rsidR="00EB1118" w:rsidRDefault="00EB1118" w:rsidP="00EB1118">
      <w:pPr>
        <w:autoSpaceDE w:val="0"/>
        <w:autoSpaceDN w:val="0"/>
        <w:adjustRightInd w:val="0"/>
        <w:rPr>
          <w:rFonts w:cs="Times New Roman"/>
          <w:color w:val="000000"/>
        </w:rPr>
      </w:pPr>
      <w:r w:rsidRPr="00EB1118">
        <w:rPr>
          <w:rFonts w:cs="Times New Roman"/>
          <w:color w:val="000000"/>
        </w:rPr>
        <w:t>Identifying fa</w:t>
      </w:r>
      <w:r>
        <w:rPr>
          <w:rFonts w:cs="Times New Roman"/>
          <w:color w:val="000000"/>
        </w:rPr>
        <w:t xml:space="preserve">ctors that predict wellbeing in </w:t>
      </w:r>
      <w:r w:rsidRPr="00EB1118">
        <w:rPr>
          <w:rFonts w:cs="Times New Roman"/>
          <w:color w:val="000000"/>
        </w:rPr>
        <w:t>retirement may offer important</w:t>
      </w:r>
      <w:r>
        <w:rPr>
          <w:rFonts w:cs="Times New Roman"/>
          <w:color w:val="000000"/>
        </w:rPr>
        <w:t xml:space="preserve"> insights that </w:t>
      </w:r>
      <w:r w:rsidRPr="00EB1118">
        <w:rPr>
          <w:rFonts w:cs="Times New Roman"/>
          <w:color w:val="000000"/>
        </w:rPr>
        <w:t>inform health</w:t>
      </w:r>
      <w:r>
        <w:rPr>
          <w:rFonts w:cs="Times New Roman"/>
          <w:color w:val="000000"/>
        </w:rPr>
        <w:t xml:space="preserve"> and policy advances to promote </w:t>
      </w:r>
      <w:r w:rsidRPr="00EB1118">
        <w:rPr>
          <w:rFonts w:cs="Times New Roman"/>
          <w:color w:val="000000"/>
        </w:rPr>
        <w:t>wellbeing in older Australians.</w:t>
      </w:r>
    </w:p>
    <w:p w:rsidR="00EB1118" w:rsidRPr="00EB1118" w:rsidRDefault="00EB1118" w:rsidP="00EB1118">
      <w:pPr>
        <w:autoSpaceDE w:val="0"/>
        <w:autoSpaceDN w:val="0"/>
        <w:adjustRightInd w:val="0"/>
        <w:rPr>
          <w:rFonts w:cs="Times New Roman"/>
          <w:color w:val="000000"/>
        </w:rPr>
      </w:pPr>
    </w:p>
    <w:p w:rsidR="00057433" w:rsidRDefault="00EB1118" w:rsidP="00EB1118">
      <w:pPr>
        <w:autoSpaceDE w:val="0"/>
        <w:autoSpaceDN w:val="0"/>
        <w:adjustRightInd w:val="0"/>
        <w:rPr>
          <w:rFonts w:cs="Times New Roman"/>
          <w:color w:val="000000"/>
        </w:rPr>
      </w:pPr>
      <w:r w:rsidRPr="00EB1118">
        <w:rPr>
          <w:rFonts w:cs="Times New Roman"/>
          <w:color w:val="000000"/>
        </w:rPr>
        <w:t xml:space="preserve">This report specifically examines SWB </w:t>
      </w:r>
      <w:r>
        <w:rPr>
          <w:rFonts w:cs="Times New Roman"/>
          <w:color w:val="000000"/>
        </w:rPr>
        <w:t xml:space="preserve">among </w:t>
      </w:r>
      <w:r w:rsidRPr="00EB1118">
        <w:rPr>
          <w:rFonts w:cs="Times New Roman"/>
          <w:color w:val="000000"/>
        </w:rPr>
        <w:t>retirees in Austra</w:t>
      </w:r>
      <w:r>
        <w:rPr>
          <w:rFonts w:cs="Times New Roman"/>
          <w:color w:val="000000"/>
        </w:rPr>
        <w:t xml:space="preserve">lia over the past 16-years. The </w:t>
      </w:r>
      <w:r w:rsidRPr="00EB1118">
        <w:rPr>
          <w:rFonts w:cs="Times New Roman"/>
          <w:color w:val="000000"/>
        </w:rPr>
        <w:t>data compr</w:t>
      </w:r>
      <w:r>
        <w:rPr>
          <w:rFonts w:cs="Times New Roman"/>
          <w:color w:val="000000"/>
        </w:rPr>
        <w:t xml:space="preserve">ised information drawn from 27, </w:t>
      </w:r>
      <w:r w:rsidRPr="00EB1118">
        <w:rPr>
          <w:rFonts w:cs="Times New Roman"/>
          <w:color w:val="000000"/>
        </w:rPr>
        <w:t>independent, cross-sectional surveys using the</w:t>
      </w:r>
      <w:r>
        <w:rPr>
          <w:rFonts w:cs="Times New Roman"/>
          <w:color w:val="000000"/>
        </w:rPr>
        <w:t xml:space="preserve"> </w:t>
      </w:r>
      <w:r w:rsidRPr="00EB1118">
        <w:rPr>
          <w:rFonts w:cs="Times New Roman"/>
          <w:color w:val="000000"/>
        </w:rPr>
        <w:t>Australian Unity Wellbeing Index. These surveys</w:t>
      </w:r>
      <w:r>
        <w:rPr>
          <w:rFonts w:cs="Times New Roman"/>
          <w:color w:val="000000"/>
        </w:rPr>
        <w:t xml:space="preserve"> </w:t>
      </w:r>
      <w:r w:rsidRPr="00EB1118">
        <w:rPr>
          <w:rFonts w:cs="Times New Roman"/>
          <w:color w:val="000000"/>
        </w:rPr>
        <w:t>were con</w:t>
      </w:r>
      <w:r>
        <w:rPr>
          <w:rFonts w:cs="Times New Roman"/>
          <w:color w:val="000000"/>
        </w:rPr>
        <w:t xml:space="preserve">ducted between 2003 and 2018 on </w:t>
      </w:r>
      <w:r w:rsidRPr="00EB1118">
        <w:rPr>
          <w:rFonts w:cs="Times New Roman"/>
          <w:color w:val="000000"/>
        </w:rPr>
        <w:t>50,06</w:t>
      </w:r>
      <w:r>
        <w:rPr>
          <w:rFonts w:cs="Times New Roman"/>
          <w:color w:val="000000"/>
        </w:rPr>
        <w:t xml:space="preserve">0 participants, of which 12,759 </w:t>
      </w:r>
      <w:r w:rsidRPr="00EB1118">
        <w:rPr>
          <w:rFonts w:cs="Times New Roman"/>
          <w:color w:val="000000"/>
        </w:rPr>
        <w:t>participants were retired.</w:t>
      </w:r>
    </w:p>
    <w:p w:rsidR="00EB1118" w:rsidRDefault="00EB1118" w:rsidP="00EB1118">
      <w:pPr>
        <w:autoSpaceDE w:val="0"/>
        <w:autoSpaceDN w:val="0"/>
        <w:adjustRightInd w:val="0"/>
        <w:rPr>
          <w:rFonts w:cs="Times New Roman"/>
          <w:color w:val="000000"/>
        </w:rPr>
      </w:pPr>
    </w:p>
    <w:p w:rsidR="00EB1118" w:rsidRPr="00CE2E03" w:rsidRDefault="00EB1118" w:rsidP="00EB1118">
      <w:pPr>
        <w:autoSpaceDE w:val="0"/>
        <w:autoSpaceDN w:val="0"/>
        <w:adjustRightInd w:val="0"/>
        <w:rPr>
          <w:rFonts w:cs="Times New Roman"/>
          <w:color w:val="2E74B5" w:themeColor="accent1" w:themeShade="BF"/>
          <w:sz w:val="28"/>
          <w:szCs w:val="28"/>
        </w:rPr>
      </w:pPr>
      <w:r w:rsidRPr="00CE2E03">
        <w:rPr>
          <w:rFonts w:cs="Times New Roman"/>
          <w:color w:val="2E74B5" w:themeColor="accent1" w:themeShade="BF"/>
          <w:sz w:val="28"/>
          <w:szCs w:val="28"/>
        </w:rPr>
        <w:t>Differences in SWB between retirees and non-retirees</w:t>
      </w:r>
    </w:p>
    <w:p w:rsidR="00EB1118" w:rsidRDefault="00EB1118" w:rsidP="00EB1118">
      <w:pPr>
        <w:autoSpaceDE w:val="0"/>
        <w:autoSpaceDN w:val="0"/>
        <w:adjustRightInd w:val="0"/>
        <w:rPr>
          <w:rFonts w:cs="Times New Roman"/>
          <w:color w:val="000000"/>
        </w:rPr>
      </w:pPr>
      <w:r w:rsidRPr="00EB1118">
        <w:rPr>
          <w:rFonts w:cs="Times New Roman"/>
          <w:color w:val="000000"/>
        </w:rPr>
        <w:t>• Retirees as an aggregate group (2003-2018) repor</w:t>
      </w:r>
      <w:r w:rsidR="00537A45">
        <w:rPr>
          <w:rFonts w:cs="Times New Roman"/>
          <w:color w:val="000000"/>
        </w:rPr>
        <w:t xml:space="preserve">ted scores above the Australian </w:t>
      </w:r>
      <w:r w:rsidRPr="00EB1118">
        <w:rPr>
          <w:rFonts w:cs="Times New Roman"/>
          <w:color w:val="000000"/>
        </w:rPr>
        <w:t xml:space="preserve">normative range on Global Life Satisfaction (GLS), overall </w:t>
      </w:r>
      <w:r w:rsidR="00537A45">
        <w:rPr>
          <w:rFonts w:cs="Times New Roman"/>
          <w:color w:val="000000"/>
        </w:rPr>
        <w:t xml:space="preserve">Personal Wellbeing Index (PWI), </w:t>
      </w:r>
      <w:r w:rsidRPr="00EB1118">
        <w:rPr>
          <w:rFonts w:cs="Times New Roman"/>
          <w:color w:val="000000"/>
        </w:rPr>
        <w:t>and on the individual domains of standard of livi</w:t>
      </w:r>
      <w:r w:rsidR="00537A45">
        <w:rPr>
          <w:rFonts w:cs="Times New Roman"/>
          <w:color w:val="000000"/>
        </w:rPr>
        <w:t xml:space="preserve">ng, achieving in life, personal </w:t>
      </w:r>
      <w:r w:rsidRPr="00EB1118">
        <w:rPr>
          <w:rFonts w:cs="Times New Roman"/>
          <w:color w:val="000000"/>
        </w:rPr>
        <w:t>relationships and future security.</w:t>
      </w:r>
    </w:p>
    <w:p w:rsidR="00537A45" w:rsidRPr="00EB1118" w:rsidRDefault="00537A45" w:rsidP="00EB1118">
      <w:pPr>
        <w:autoSpaceDE w:val="0"/>
        <w:autoSpaceDN w:val="0"/>
        <w:adjustRightInd w:val="0"/>
        <w:rPr>
          <w:rFonts w:cs="Times New Roman"/>
          <w:color w:val="000000"/>
        </w:rPr>
      </w:pPr>
    </w:p>
    <w:p w:rsidR="00EB1118" w:rsidRDefault="00EB1118" w:rsidP="00EB1118">
      <w:pPr>
        <w:autoSpaceDE w:val="0"/>
        <w:autoSpaceDN w:val="0"/>
        <w:adjustRightInd w:val="0"/>
        <w:rPr>
          <w:rFonts w:cs="Times New Roman"/>
          <w:color w:val="000000"/>
        </w:rPr>
      </w:pPr>
      <w:r w:rsidRPr="00EB1118">
        <w:rPr>
          <w:rFonts w:cs="Times New Roman"/>
          <w:color w:val="000000"/>
        </w:rPr>
        <w:t>• Compared to non-retirees, participants who were retire</w:t>
      </w:r>
      <w:r w:rsidR="00537A45">
        <w:rPr>
          <w:rFonts w:cs="Times New Roman"/>
          <w:color w:val="000000"/>
        </w:rPr>
        <w:t xml:space="preserve">d reported higher scores on the </w:t>
      </w:r>
      <w:r w:rsidRPr="00EB1118">
        <w:rPr>
          <w:rFonts w:cs="Times New Roman"/>
          <w:color w:val="000000"/>
        </w:rPr>
        <w:t>individual domains of standard of living, achieving in life</w:t>
      </w:r>
      <w:r w:rsidR="00537A45">
        <w:rPr>
          <w:rFonts w:cs="Times New Roman"/>
          <w:color w:val="000000"/>
        </w:rPr>
        <w:t xml:space="preserve">, personal relationships, </w:t>
      </w:r>
      <w:r w:rsidRPr="00EB1118">
        <w:rPr>
          <w:rFonts w:cs="Times New Roman"/>
          <w:color w:val="000000"/>
        </w:rPr>
        <w:t>community connectedness and future security. However,</w:t>
      </w:r>
      <w:r w:rsidR="00537A45">
        <w:rPr>
          <w:rFonts w:cs="Times New Roman"/>
          <w:color w:val="000000"/>
        </w:rPr>
        <w:t xml:space="preserve"> retirees reported lower scores </w:t>
      </w:r>
      <w:r w:rsidRPr="00EB1118">
        <w:rPr>
          <w:rFonts w:cs="Times New Roman"/>
          <w:color w:val="000000"/>
        </w:rPr>
        <w:t>on the domain of health compared to non-retirees. This pat</w:t>
      </w:r>
      <w:r w:rsidR="00537A45">
        <w:rPr>
          <w:rFonts w:cs="Times New Roman"/>
          <w:color w:val="000000"/>
        </w:rPr>
        <w:t xml:space="preserve">tern of results was observed in </w:t>
      </w:r>
      <w:r w:rsidRPr="00EB1118">
        <w:rPr>
          <w:rFonts w:cs="Times New Roman"/>
          <w:color w:val="000000"/>
        </w:rPr>
        <w:t>the aggregate group (2003-2018) and across the 27 independent surveys.</w:t>
      </w:r>
    </w:p>
    <w:p w:rsidR="00411B9B" w:rsidRPr="00BB5D46" w:rsidRDefault="00411B9B" w:rsidP="002A5B73">
      <w:pPr>
        <w:rPr>
          <w:rFonts w:eastAsia="Arial" w:cs="Times New Roman"/>
          <w:b/>
          <w:color w:val="000000"/>
          <w:sz w:val="32"/>
          <w:szCs w:val="32"/>
          <w:lang w:val="en-US"/>
        </w:rPr>
      </w:pPr>
    </w:p>
    <w:p w:rsidR="00411B9B" w:rsidRDefault="00411B9B" w:rsidP="00411B9B">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411B9B" w:rsidRPr="004A2F62" w:rsidRDefault="00411B9B" w:rsidP="00411B9B">
      <w:pPr>
        <w:jc w:val="center"/>
        <w:rPr>
          <w:rFonts w:eastAsia="Calibri" w:cs="Times New Roman"/>
          <w:i/>
          <w:szCs w:val="22"/>
        </w:rPr>
      </w:pPr>
      <w:r w:rsidRPr="007F0718">
        <w:rPr>
          <w:rFonts w:eastAsia="Calibri" w:cs="Times New Roman"/>
          <w:i/>
          <w:szCs w:val="22"/>
        </w:rPr>
        <w:t>Sourced from the Analysis &amp; Policy Observatory</w:t>
      </w:r>
    </w:p>
    <w:p w:rsidR="00411B9B" w:rsidRPr="00BB5D46" w:rsidRDefault="00411B9B" w:rsidP="00411B9B">
      <w:pPr>
        <w:jc w:val="center"/>
        <w:rPr>
          <w:rFonts w:eastAsia="Arial" w:cs="Times New Roman"/>
          <w:b/>
          <w:color w:val="000000"/>
          <w:sz w:val="32"/>
          <w:szCs w:val="32"/>
          <w:lang w:val="en-US"/>
        </w:rPr>
      </w:pPr>
    </w:p>
    <w:p w:rsidR="0063286F" w:rsidRDefault="0063286F" w:rsidP="0063286F">
      <w:pPr>
        <w:rPr>
          <w:rFonts w:cs="Times New Roman"/>
        </w:rPr>
      </w:pPr>
      <w:r w:rsidRPr="0063286F">
        <w:rPr>
          <w:rFonts w:cs="Times New Roman"/>
        </w:rPr>
        <w:lastRenderedPageBreak/>
        <w:t xml:space="preserve">Kearney, M. S., &amp; </w:t>
      </w:r>
      <w:proofErr w:type="spellStart"/>
      <w:r w:rsidRPr="0063286F">
        <w:rPr>
          <w:rFonts w:cs="Times New Roman"/>
        </w:rPr>
        <w:t>Mogstad</w:t>
      </w:r>
      <w:proofErr w:type="spellEnd"/>
      <w:r w:rsidRPr="0063286F">
        <w:rPr>
          <w:rFonts w:cs="Times New Roman"/>
        </w:rPr>
        <w:t xml:space="preserve">, M. (2019). </w:t>
      </w:r>
      <w:r w:rsidRPr="0063286F">
        <w:rPr>
          <w:rFonts w:cs="Times New Roman"/>
          <w:i/>
          <w:iCs/>
        </w:rPr>
        <w:t>Universal Basic Income (UBI) as a Policy Response to Current Challenges</w:t>
      </w:r>
      <w:r w:rsidRPr="0063286F">
        <w:rPr>
          <w:rFonts w:cs="Times New Roman"/>
        </w:rPr>
        <w:t xml:space="preserve">. Washington: The Aspen Institute  </w:t>
      </w:r>
      <w:hyperlink r:id="rId103" w:history="1">
        <w:r w:rsidRPr="0063286F">
          <w:rPr>
            <w:rFonts w:cs="Times New Roman"/>
          </w:rPr>
          <w:t>https://www.brookings.edu/wp-content/uploads/2019/08/UBI-ESG-Memo-082319.pdf</w:t>
        </w:r>
      </w:hyperlink>
      <w:r w:rsidRPr="0063286F">
        <w:rPr>
          <w:rFonts w:cs="Times New Roman"/>
        </w:rPr>
        <w:t>.</w:t>
      </w:r>
    </w:p>
    <w:p w:rsidR="0063286F" w:rsidRPr="0063286F" w:rsidRDefault="0063286F" w:rsidP="0063286F">
      <w:pPr>
        <w:rPr>
          <w:rFonts w:cs="Times New Roman"/>
        </w:rPr>
      </w:pPr>
    </w:p>
    <w:p w:rsidR="00411B9B" w:rsidRPr="0063286F" w:rsidRDefault="0063286F" w:rsidP="0063286F">
      <w:pPr>
        <w:rPr>
          <w:rFonts w:cs="Times New Roman"/>
        </w:rPr>
      </w:pPr>
      <w:r w:rsidRPr="0063286F">
        <w:rPr>
          <w:rFonts w:eastAsia="Arial" w:cs="Times New Roman"/>
          <w:color w:val="000000"/>
          <w:lang w:val="en-US"/>
        </w:rPr>
        <w:t>We briefly review the main motivations behind recent calls for a Universal Basic Income (UBI) in the United States and the main features of some current UBI proposals. We then argue that a UBI would be extremely expensive and yet do very little to reduce inequality or advance opportunity and social mobility. We argue that instead of a UBI, the federal government should pursue a pro-work strategy of income support, paying wage subsidies to low-wage workers along with targeted transfer benefits consisting of both cash and near-cash types of support paid to the most needy individuals and households.</w:t>
      </w:r>
    </w:p>
    <w:p w:rsidR="00411B9B" w:rsidRDefault="00411B9B" w:rsidP="00411B9B">
      <w:pPr>
        <w:jc w:val="center"/>
        <w:rPr>
          <w:rFonts w:ascii="Helvetica" w:hAnsi="Helvetica" w:cs="Helvetica"/>
          <w:sz w:val="18"/>
          <w:szCs w:val="18"/>
        </w:rPr>
      </w:pPr>
    </w:p>
    <w:p w:rsidR="00411B9B" w:rsidRPr="00CB131A" w:rsidRDefault="00411B9B" w:rsidP="00411B9B">
      <w:pPr>
        <w:jc w:val="center"/>
        <w:rPr>
          <w:rFonts w:eastAsia="Arial" w:cs="Times New Roman"/>
          <w:b/>
          <w:sz w:val="32"/>
          <w:szCs w:val="32"/>
        </w:rPr>
      </w:pPr>
      <w:r w:rsidRPr="00BB5D46">
        <w:rPr>
          <w:rFonts w:eastAsia="Arial" w:cs="Times New Roman"/>
          <w:b/>
          <w:sz w:val="32"/>
          <w:szCs w:val="32"/>
        </w:rPr>
        <w:t>Media news</w:t>
      </w:r>
    </w:p>
    <w:p w:rsidR="00411B9B" w:rsidRPr="00CB131A" w:rsidRDefault="00411B9B" w:rsidP="00411B9B">
      <w:pPr>
        <w:jc w:val="center"/>
        <w:rPr>
          <w:rFonts w:eastAsia="Arial" w:cs="Times New Roman"/>
          <w:i/>
        </w:rPr>
      </w:pPr>
      <w:r w:rsidRPr="00CB131A">
        <w:rPr>
          <w:rFonts w:eastAsia="Arial" w:cs="Times New Roman"/>
          <w:i/>
        </w:rPr>
        <w:t>Tanika Roberts [</w:t>
      </w:r>
      <w:hyperlink r:id="rId104" w:history="1">
        <w:r w:rsidRPr="00CB131A">
          <w:rPr>
            <w:rStyle w:val="Hyperlink"/>
            <w:rFonts w:eastAsia="Arial" w:cs="Times New Roman"/>
            <w:i/>
          </w:rPr>
          <w:t>trobe@deakin.edu.au</w:t>
        </w:r>
      </w:hyperlink>
      <w:r w:rsidRPr="00CB131A">
        <w:rPr>
          <w:rFonts w:eastAsia="Arial" w:cs="Times New Roman"/>
          <w:i/>
        </w:rPr>
        <w:t>]</w:t>
      </w:r>
    </w:p>
    <w:p w:rsidR="00411B9B" w:rsidRPr="00CB131A" w:rsidRDefault="00411B9B" w:rsidP="00411B9B">
      <w:pPr>
        <w:jc w:val="center"/>
        <w:rPr>
          <w:rFonts w:eastAsia="Arial" w:cs="Times New Roman"/>
          <w:i/>
        </w:rPr>
      </w:pPr>
      <w:r w:rsidRPr="00CB131A">
        <w:rPr>
          <w:rFonts w:eastAsia="Arial" w:cs="Times New Roman"/>
          <w:i/>
        </w:rPr>
        <w:t>Executive Volunteer, Bulletin Co-Editor– Media</w:t>
      </w:r>
    </w:p>
    <w:p w:rsidR="00411B9B" w:rsidRDefault="00411B9B" w:rsidP="00411B9B">
      <w:pPr>
        <w:rPr>
          <w:rFonts w:eastAsia="Arial" w:cs="Times New Roman"/>
          <w:sz w:val="28"/>
          <w:szCs w:val="28"/>
        </w:rPr>
      </w:pPr>
    </w:p>
    <w:p w:rsidR="007279E3" w:rsidRPr="007279E3" w:rsidRDefault="007279E3" w:rsidP="007279E3">
      <w:pPr>
        <w:shd w:val="clear" w:color="auto" w:fill="FFFFFF"/>
        <w:textAlignment w:val="baseline"/>
        <w:outlineLvl w:val="0"/>
        <w:rPr>
          <w:rFonts w:eastAsia="Times New Roman" w:cs="Times New Roman"/>
          <w:b/>
          <w:bCs/>
          <w:kern w:val="36"/>
          <w:lang w:eastAsia="en-AU"/>
        </w:rPr>
      </w:pPr>
      <w:r w:rsidRPr="007279E3">
        <w:rPr>
          <w:rFonts w:eastAsia="Times New Roman" w:cs="Times New Roman"/>
          <w:b/>
          <w:bCs/>
          <w:color w:val="31313B"/>
          <w:kern w:val="36"/>
          <w:lang w:eastAsia="en-AU"/>
        </w:rPr>
        <w:t>What we know and don’t know about how mass trauma affects mental health</w:t>
      </w:r>
    </w:p>
    <w:p w:rsidR="007279E3" w:rsidRPr="007279E3" w:rsidRDefault="00DF3874" w:rsidP="007279E3">
      <w:pPr>
        <w:shd w:val="clear" w:color="auto" w:fill="FFFFFF"/>
        <w:textAlignment w:val="baseline"/>
        <w:outlineLvl w:val="1"/>
        <w:rPr>
          <w:rFonts w:eastAsia="Times New Roman" w:cs="Times New Roman"/>
          <w:b/>
          <w:bCs/>
          <w:sz w:val="20"/>
          <w:szCs w:val="20"/>
          <w:lang w:eastAsia="en-AU"/>
        </w:rPr>
      </w:pPr>
      <w:hyperlink r:id="rId105" w:history="1">
        <w:r w:rsidR="007279E3" w:rsidRPr="007279E3">
          <w:rPr>
            <w:rFonts w:eastAsia="Times New Roman" w:cs="Times New Roman"/>
            <w:color w:val="0000FF"/>
            <w:sz w:val="20"/>
            <w:szCs w:val="20"/>
            <w:u w:val="single"/>
            <w:lang w:eastAsia="en-AU"/>
          </w:rPr>
          <w:t>https://www.sciencenews.org/article/what-we-know-how-mass-trauma-affects-mental-health</w:t>
        </w:r>
      </w:hyperlink>
      <w:r w:rsidR="007279E3" w:rsidRPr="007279E3">
        <w:rPr>
          <w:rFonts w:eastAsia="Times New Roman" w:cs="Times New Roman"/>
          <w:color w:val="0000FF"/>
          <w:sz w:val="20"/>
          <w:szCs w:val="20"/>
          <w:u w:val="single"/>
          <w:lang w:eastAsia="en-AU"/>
        </w:rPr>
        <w:t> </w:t>
      </w:r>
    </w:p>
    <w:p w:rsidR="007279E3" w:rsidRPr="007279E3" w:rsidRDefault="007279E3" w:rsidP="007279E3">
      <w:pPr>
        <w:shd w:val="clear" w:color="auto" w:fill="FFFFFF"/>
        <w:textAlignment w:val="baseline"/>
        <w:outlineLvl w:val="0"/>
        <w:rPr>
          <w:rFonts w:eastAsia="Times New Roman" w:cs="Times New Roman"/>
          <w:b/>
          <w:bCs/>
          <w:kern w:val="36"/>
          <w:sz w:val="20"/>
          <w:szCs w:val="20"/>
          <w:lang w:eastAsia="en-AU"/>
        </w:rPr>
      </w:pPr>
      <w:r w:rsidRPr="007279E3">
        <w:rPr>
          <w:rFonts w:eastAsia="Times New Roman" w:cs="Times New Roman"/>
          <w:kern w:val="36"/>
          <w:sz w:val="20"/>
          <w:szCs w:val="20"/>
          <w:lang w:eastAsia="en-AU"/>
        </w:rPr>
        <w:t>Sujata Gupta</w:t>
      </w:r>
    </w:p>
    <w:p w:rsidR="007279E3" w:rsidRDefault="007279E3" w:rsidP="007279E3">
      <w:pPr>
        <w:rPr>
          <w:rFonts w:eastAsia="Calibri" w:cs="Times New Roman"/>
          <w:bCs/>
          <w:color w:val="31313B"/>
          <w:lang w:eastAsia="en-AU"/>
        </w:rPr>
      </w:pPr>
    </w:p>
    <w:p w:rsidR="007279E3" w:rsidRDefault="007279E3" w:rsidP="007279E3">
      <w:pPr>
        <w:rPr>
          <w:rFonts w:eastAsia="Calibri" w:cs="Times New Roman"/>
          <w:color w:val="31313B"/>
          <w:shd w:val="clear" w:color="auto" w:fill="FFFFFF"/>
          <w:lang w:eastAsia="en-AU"/>
        </w:rPr>
      </w:pPr>
      <w:r w:rsidRPr="007279E3">
        <w:rPr>
          <w:rFonts w:eastAsia="Calibri" w:cs="Times New Roman"/>
          <w:bCs/>
          <w:color w:val="31313B"/>
          <w:lang w:eastAsia="en-AU"/>
        </w:rPr>
        <w:t xml:space="preserve">Researchers are trying to figure out who is most at risk of self-harm after mass trauma such as a school shooting or terror attack. </w:t>
      </w:r>
      <w:r w:rsidRPr="007279E3">
        <w:rPr>
          <w:rFonts w:eastAsia="Calibri" w:cs="Times New Roman"/>
          <w:color w:val="31313B"/>
          <w:shd w:val="clear" w:color="auto" w:fill="FFFFFF"/>
          <w:lang w:eastAsia="en-AU"/>
        </w:rPr>
        <w:t>Suicide can occur in clusters, especially among teens. But it’s too early to tell if these deaths are connected in any way, are related to having experienced similar mass traumas — or if they simply occurred close together by chance, says April Foreman. The deaths do shine light on a question that researchers are trying hard to answer: How does being connected to a mass trauma event like a school shooting affect a person’s later risk for mental health problems and self-harm? </w:t>
      </w:r>
    </w:p>
    <w:p w:rsidR="007279E3" w:rsidRPr="007279E3" w:rsidRDefault="007279E3" w:rsidP="007279E3">
      <w:pPr>
        <w:rPr>
          <w:rFonts w:eastAsia="Calibri" w:cs="Times New Roman"/>
          <w:lang w:eastAsia="en-AU"/>
        </w:rPr>
      </w:pPr>
    </w:p>
    <w:p w:rsidR="00411B9B" w:rsidRPr="00BB5D46" w:rsidRDefault="00411B9B" w:rsidP="00411B9B">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411B9B" w:rsidRPr="006F0D33" w:rsidRDefault="00411B9B" w:rsidP="00411B9B">
      <w:pPr>
        <w:jc w:val="center"/>
        <w:rPr>
          <w:rFonts w:eastAsia="Calibri" w:cs="Times New Roman"/>
          <w:szCs w:val="22"/>
        </w:rPr>
      </w:pPr>
      <w:r w:rsidRPr="006F0D33">
        <w:rPr>
          <w:rFonts w:eastAsia="Calibri" w:cs="Times New Roman"/>
          <w:szCs w:val="22"/>
        </w:rPr>
        <w:t>Sangeetha Thomas &lt;thomassa@deakin.edu.au&gt;</w:t>
      </w:r>
      <w:r w:rsidRPr="006F0D33">
        <w:rPr>
          <w:rFonts w:eastAsia="Calibri" w:cs="Times New Roman"/>
          <w:szCs w:val="22"/>
        </w:rPr>
        <w:fldChar w:fldCharType="begin"/>
      </w:r>
      <w:r w:rsidRPr="006F0D33">
        <w:rPr>
          <w:rFonts w:eastAsia="Calibri" w:cs="Times New Roman"/>
          <w:szCs w:val="22"/>
        </w:rPr>
        <w:instrText xml:space="preserve">simonet@deakin.edu.au" </w:instrText>
      </w:r>
      <w:r w:rsidRPr="006F0D33">
        <w:rPr>
          <w:rFonts w:eastAsia="Calibri" w:cs="Times New Roman"/>
          <w:szCs w:val="22"/>
        </w:rPr>
        <w:fldChar w:fldCharType="separate"/>
      </w:r>
      <w:r w:rsidRPr="006F0D33">
        <w:rPr>
          <w:rFonts w:eastAsia="Calibri" w:cs="Times New Roman"/>
          <w:szCs w:val="22"/>
        </w:rPr>
        <w:t>simonet@deakin.edu.au</w:t>
      </w:r>
      <w:r w:rsidRPr="006F0D33">
        <w:rPr>
          <w:rFonts w:eastAsia="Calibri" w:cs="Times New Roman"/>
          <w:szCs w:val="22"/>
        </w:rPr>
        <w:fldChar w:fldCharType="end"/>
      </w:r>
    </w:p>
    <w:p w:rsidR="00411B9B" w:rsidRPr="00BB5D46" w:rsidRDefault="00411B9B" w:rsidP="00411B9B">
      <w:pPr>
        <w:jc w:val="center"/>
        <w:rPr>
          <w:rFonts w:eastAsia="Calibri" w:cs="Times New Roman"/>
          <w:i/>
          <w:szCs w:val="22"/>
        </w:rPr>
      </w:pPr>
      <w:r w:rsidRPr="00BB5D46">
        <w:rPr>
          <w:rFonts w:eastAsia="Calibri" w:cs="Times New Roman"/>
          <w:i/>
          <w:szCs w:val="22"/>
        </w:rPr>
        <w:t>Membership Registrar</w:t>
      </w:r>
    </w:p>
    <w:p w:rsidR="0085659A" w:rsidRDefault="0085659A" w:rsidP="00411B9B">
      <w:pPr>
        <w:rPr>
          <w:rFonts w:eastAsia="Times New Roman" w:cs="Times New Roman"/>
          <w:b/>
          <w:sz w:val="32"/>
          <w:szCs w:val="32"/>
          <w:lang w:val="en-US"/>
        </w:rPr>
      </w:pPr>
    </w:p>
    <w:p w:rsidR="00411B9B" w:rsidRPr="00BB5D46" w:rsidRDefault="00411B9B" w:rsidP="00411B9B">
      <w:pPr>
        <w:rPr>
          <w:rFonts w:eastAsia="Calibri" w:cs="Times New Roman"/>
          <w:i/>
          <w:szCs w:val="22"/>
        </w:rPr>
      </w:pPr>
      <w:r w:rsidRPr="00BB5D46">
        <w:rPr>
          <w:rFonts w:eastAsia="Times New Roman" w:cs="Times New Roman"/>
          <w:b/>
          <w:sz w:val="32"/>
          <w:szCs w:val="32"/>
          <w:lang w:val="en-US"/>
        </w:rPr>
        <w:t>Welcome to new members</w:t>
      </w:r>
    </w:p>
    <w:p w:rsidR="0085659A" w:rsidRPr="0085659A" w:rsidRDefault="00DF3874" w:rsidP="0085659A">
      <w:pPr>
        <w:spacing w:line="259" w:lineRule="auto"/>
        <w:rPr>
          <w:rFonts w:eastAsia="DengXian" w:cs="Times New Roman"/>
          <w:b/>
          <w:bCs/>
          <w:lang w:val="es-ES" w:eastAsia="zh-CN"/>
        </w:rPr>
      </w:pPr>
      <w:hyperlink r:id="rId106" w:history="1">
        <w:r w:rsidR="0085659A" w:rsidRPr="0085659A">
          <w:rPr>
            <w:rFonts w:eastAsia="DengXian" w:cs="Times New Roman"/>
            <w:b/>
            <w:bCs/>
            <w:color w:val="0000FF"/>
            <w:u w:val="single"/>
            <w:lang w:val="es-ES" w:eastAsia="zh-CN"/>
          </w:rPr>
          <w:t xml:space="preserve">Dr Aquiles </w:t>
        </w:r>
      </w:hyperlink>
    </w:p>
    <w:p w:rsidR="0085659A" w:rsidRPr="0085659A" w:rsidRDefault="0085659A" w:rsidP="0085659A">
      <w:pPr>
        <w:spacing w:line="259" w:lineRule="auto"/>
        <w:rPr>
          <w:rFonts w:eastAsia="DengXian" w:cs="Times New Roman"/>
          <w:lang w:val="es-ES" w:eastAsia="zh-CN"/>
        </w:rPr>
      </w:pPr>
      <w:r w:rsidRPr="0085659A">
        <w:rPr>
          <w:rFonts w:eastAsia="DengXian" w:cs="Times New Roman"/>
          <w:lang w:val="es-ES" w:eastAsia="zh-CN"/>
        </w:rPr>
        <w:t>Docente, Universidad Argentina de Empresas</w:t>
      </w:r>
    </w:p>
    <w:p w:rsidR="0085659A" w:rsidRDefault="0085659A" w:rsidP="0085659A">
      <w:pPr>
        <w:spacing w:line="259" w:lineRule="auto"/>
        <w:rPr>
          <w:rFonts w:eastAsia="DengXian" w:cs="Times New Roman"/>
          <w:lang w:eastAsia="zh-CN"/>
        </w:rPr>
      </w:pPr>
      <w:r w:rsidRPr="0085659A">
        <w:rPr>
          <w:rFonts w:eastAsia="DengXian" w:cs="Times New Roman"/>
          <w:b/>
          <w:bCs/>
          <w:lang w:eastAsia="zh-CN"/>
        </w:rPr>
        <w:t>Keywords:</w:t>
      </w:r>
      <w:r w:rsidRPr="0085659A">
        <w:rPr>
          <w:rFonts w:eastAsia="DengXian" w:cs="Times New Roman"/>
          <w:lang w:eastAsia="zh-CN"/>
        </w:rPr>
        <w:t xml:space="preserve"> Quality of life, wellbeing, satisfaction with life</w:t>
      </w:r>
    </w:p>
    <w:p w:rsidR="0085659A" w:rsidRPr="0085659A" w:rsidRDefault="0085659A" w:rsidP="0085659A">
      <w:pPr>
        <w:spacing w:line="259" w:lineRule="auto"/>
        <w:rPr>
          <w:rFonts w:eastAsia="DengXian" w:cs="Times New Roman"/>
          <w:lang w:eastAsia="zh-CN"/>
        </w:rPr>
      </w:pPr>
    </w:p>
    <w:p w:rsidR="0085659A" w:rsidRPr="0085659A" w:rsidRDefault="00DF3874" w:rsidP="0085659A">
      <w:pPr>
        <w:spacing w:line="259" w:lineRule="auto"/>
        <w:rPr>
          <w:rFonts w:eastAsia="DengXian" w:cs="Times New Roman"/>
          <w:b/>
          <w:bCs/>
          <w:lang w:eastAsia="zh-CN"/>
        </w:rPr>
      </w:pPr>
      <w:hyperlink r:id="rId107" w:history="1">
        <w:r w:rsidR="0085659A" w:rsidRPr="0085659A">
          <w:rPr>
            <w:rFonts w:eastAsia="DengXian" w:cs="Times New Roman"/>
            <w:b/>
            <w:bCs/>
            <w:color w:val="0000FF"/>
            <w:u w:val="single"/>
            <w:lang w:eastAsia="zh-CN"/>
          </w:rPr>
          <w:t>Professor Richard J. Estes</w:t>
        </w:r>
      </w:hyperlink>
    </w:p>
    <w:p w:rsidR="0085659A" w:rsidRPr="0085659A" w:rsidRDefault="0085659A" w:rsidP="0085659A">
      <w:pPr>
        <w:spacing w:line="259" w:lineRule="auto"/>
        <w:rPr>
          <w:rFonts w:eastAsia="DengXian" w:cs="Times New Roman"/>
          <w:lang w:eastAsia="zh-CN"/>
        </w:rPr>
      </w:pPr>
      <w:r w:rsidRPr="0085659A">
        <w:rPr>
          <w:rFonts w:eastAsia="DengXian" w:cs="Times New Roman"/>
          <w:lang w:eastAsia="zh-CN"/>
        </w:rPr>
        <w:t>Professor of Social Policy and Practice, University of Pennsylvania</w:t>
      </w:r>
    </w:p>
    <w:p w:rsidR="0085659A" w:rsidRDefault="0085659A" w:rsidP="0085659A">
      <w:pPr>
        <w:spacing w:line="259" w:lineRule="auto"/>
        <w:rPr>
          <w:rFonts w:eastAsia="DengXian" w:cs="Times New Roman"/>
          <w:lang w:eastAsia="zh-CN"/>
        </w:rPr>
      </w:pPr>
      <w:r w:rsidRPr="0085659A">
        <w:rPr>
          <w:rFonts w:eastAsia="DengXian" w:cs="Times New Roman"/>
          <w:b/>
          <w:bCs/>
          <w:lang w:eastAsia="zh-CN"/>
        </w:rPr>
        <w:t>Keywords:</w:t>
      </w:r>
      <w:r w:rsidRPr="0085659A">
        <w:rPr>
          <w:rFonts w:eastAsia="DengXian" w:cs="Times New Roman"/>
          <w:lang w:eastAsia="zh-CN"/>
        </w:rPr>
        <w:t xml:space="preserve"> Social policy, Social welfare</w:t>
      </w:r>
    </w:p>
    <w:p w:rsidR="0085659A" w:rsidRPr="0085659A" w:rsidRDefault="0085659A" w:rsidP="0085659A">
      <w:pPr>
        <w:spacing w:line="259" w:lineRule="auto"/>
        <w:rPr>
          <w:rFonts w:eastAsia="DengXian" w:cs="Times New Roman"/>
          <w:lang w:eastAsia="zh-CN"/>
        </w:rPr>
      </w:pPr>
    </w:p>
    <w:p w:rsidR="0085659A" w:rsidRPr="0085659A" w:rsidRDefault="00DF3874" w:rsidP="0085659A">
      <w:pPr>
        <w:spacing w:line="259" w:lineRule="auto"/>
        <w:rPr>
          <w:rFonts w:eastAsia="DengXian" w:cs="Times New Roman"/>
          <w:b/>
          <w:bCs/>
          <w:lang w:eastAsia="zh-CN"/>
        </w:rPr>
      </w:pPr>
      <w:hyperlink r:id="rId108" w:history="1">
        <w:proofErr w:type="spellStart"/>
        <w:r w:rsidR="0085659A" w:rsidRPr="0085659A">
          <w:rPr>
            <w:rFonts w:eastAsia="DengXian" w:cs="Times New Roman"/>
            <w:b/>
            <w:bCs/>
            <w:color w:val="0000FF"/>
            <w:u w:val="single"/>
            <w:lang w:eastAsia="zh-CN"/>
          </w:rPr>
          <w:t>Dr.</w:t>
        </w:r>
        <w:proofErr w:type="spellEnd"/>
        <w:r w:rsidR="0085659A" w:rsidRPr="0085659A">
          <w:rPr>
            <w:rFonts w:eastAsia="DengXian" w:cs="Times New Roman"/>
            <w:b/>
            <w:bCs/>
            <w:color w:val="0000FF"/>
            <w:u w:val="single"/>
            <w:lang w:eastAsia="zh-CN"/>
          </w:rPr>
          <w:t xml:space="preserve"> Walter Toscano</w:t>
        </w:r>
      </w:hyperlink>
    </w:p>
    <w:p w:rsidR="0085659A" w:rsidRPr="0085659A" w:rsidRDefault="0085659A" w:rsidP="0085659A">
      <w:pPr>
        <w:spacing w:line="259" w:lineRule="auto"/>
        <w:rPr>
          <w:rFonts w:eastAsia="DengXian" w:cs="Times New Roman"/>
          <w:lang w:eastAsia="zh-CN"/>
        </w:rPr>
      </w:pPr>
      <w:r w:rsidRPr="0085659A">
        <w:rPr>
          <w:rFonts w:eastAsia="DengXian" w:cs="Times New Roman"/>
          <w:lang w:eastAsia="zh-CN"/>
        </w:rPr>
        <w:t xml:space="preserve">Full Professor, Universidad Nacional de La </w:t>
      </w:r>
      <w:proofErr w:type="spellStart"/>
      <w:r w:rsidRPr="0085659A">
        <w:rPr>
          <w:rFonts w:eastAsia="DengXian" w:cs="Times New Roman"/>
          <w:lang w:eastAsia="zh-CN"/>
        </w:rPr>
        <w:t>Matanza</w:t>
      </w:r>
      <w:proofErr w:type="spellEnd"/>
      <w:r w:rsidRPr="0085659A">
        <w:rPr>
          <w:rFonts w:eastAsia="DengXian" w:cs="Times New Roman"/>
          <w:lang w:eastAsia="zh-CN"/>
        </w:rPr>
        <w:t>, Argentina</w:t>
      </w:r>
    </w:p>
    <w:p w:rsidR="0085659A" w:rsidRDefault="0085659A" w:rsidP="0085659A">
      <w:pPr>
        <w:spacing w:line="259" w:lineRule="auto"/>
        <w:rPr>
          <w:rFonts w:eastAsia="DengXian" w:cs="Times New Roman"/>
          <w:lang w:eastAsia="zh-CN"/>
        </w:rPr>
      </w:pPr>
      <w:r w:rsidRPr="0085659A">
        <w:rPr>
          <w:rFonts w:eastAsia="DengXian" w:cs="Times New Roman"/>
          <w:b/>
          <w:bCs/>
          <w:lang w:eastAsia="zh-CN"/>
        </w:rPr>
        <w:t>Keywords:</w:t>
      </w:r>
      <w:r w:rsidRPr="0085659A">
        <w:rPr>
          <w:rFonts w:eastAsia="DengXian" w:cs="Times New Roman"/>
          <w:lang w:eastAsia="zh-CN"/>
        </w:rPr>
        <w:t xml:space="preserve"> Physical Activity, Sports, Higher Education, Quality of Life, Health</w:t>
      </w:r>
    </w:p>
    <w:p w:rsidR="0085659A" w:rsidRPr="0085659A" w:rsidRDefault="0085659A" w:rsidP="0085659A">
      <w:pPr>
        <w:spacing w:line="259" w:lineRule="auto"/>
        <w:rPr>
          <w:rFonts w:eastAsia="DengXian" w:cs="Times New Roman"/>
          <w:lang w:eastAsia="zh-CN"/>
        </w:rPr>
      </w:pPr>
    </w:p>
    <w:p w:rsidR="0085659A" w:rsidRPr="0085659A" w:rsidRDefault="00DF3874" w:rsidP="0085659A">
      <w:pPr>
        <w:spacing w:line="259" w:lineRule="auto"/>
        <w:rPr>
          <w:rFonts w:eastAsia="DengXian" w:cs="Times New Roman"/>
          <w:b/>
          <w:bCs/>
          <w:lang w:eastAsia="zh-CN"/>
        </w:rPr>
      </w:pPr>
      <w:hyperlink r:id="rId109" w:history="1">
        <w:r w:rsidR="0085659A" w:rsidRPr="0085659A">
          <w:rPr>
            <w:rFonts w:eastAsia="DengXian" w:cs="Times New Roman"/>
            <w:b/>
            <w:bCs/>
            <w:color w:val="0000FF"/>
            <w:u w:val="single"/>
            <w:lang w:eastAsia="zh-CN"/>
          </w:rPr>
          <w:t>Dr Ema Gruber</w:t>
        </w:r>
      </w:hyperlink>
    </w:p>
    <w:p w:rsidR="0085659A" w:rsidRPr="0085659A" w:rsidRDefault="0085659A" w:rsidP="0085659A">
      <w:pPr>
        <w:spacing w:line="259" w:lineRule="auto"/>
        <w:rPr>
          <w:rFonts w:eastAsia="DengXian" w:cs="Times New Roman"/>
          <w:lang w:eastAsia="zh-CN"/>
        </w:rPr>
      </w:pPr>
      <w:r w:rsidRPr="0085659A">
        <w:rPr>
          <w:rFonts w:eastAsia="DengXian" w:cs="Times New Roman"/>
          <w:lang w:eastAsia="zh-CN"/>
        </w:rPr>
        <w:t xml:space="preserve">Psychiatrist, chief of Department R4, Mental Health Centre </w:t>
      </w:r>
      <w:proofErr w:type="spellStart"/>
      <w:r w:rsidRPr="0085659A">
        <w:rPr>
          <w:rFonts w:eastAsia="DengXian" w:cs="Times New Roman"/>
          <w:lang w:eastAsia="zh-CN"/>
        </w:rPr>
        <w:t>Sct</w:t>
      </w:r>
      <w:proofErr w:type="spellEnd"/>
      <w:r w:rsidRPr="0085659A">
        <w:rPr>
          <w:rFonts w:eastAsia="DengXian" w:cs="Times New Roman"/>
          <w:lang w:eastAsia="zh-CN"/>
        </w:rPr>
        <w:t xml:space="preserve">. Hans, </w:t>
      </w:r>
      <w:proofErr w:type="spellStart"/>
      <w:r w:rsidRPr="0085659A">
        <w:rPr>
          <w:rFonts w:eastAsia="DengXian" w:cs="Times New Roman"/>
          <w:lang w:eastAsia="zh-CN"/>
        </w:rPr>
        <w:t>Boserupvej</w:t>
      </w:r>
      <w:proofErr w:type="spellEnd"/>
      <w:r w:rsidRPr="0085659A">
        <w:rPr>
          <w:rFonts w:eastAsia="DengXian" w:cs="Times New Roman"/>
          <w:lang w:eastAsia="zh-CN"/>
        </w:rPr>
        <w:t xml:space="preserve"> 2, 4000 Roskilde, Denmark</w:t>
      </w:r>
    </w:p>
    <w:p w:rsidR="0085659A" w:rsidRDefault="0085659A" w:rsidP="0085659A">
      <w:pPr>
        <w:spacing w:line="259" w:lineRule="auto"/>
        <w:rPr>
          <w:rFonts w:eastAsia="DengXian" w:cs="Times New Roman"/>
          <w:lang w:eastAsia="zh-CN"/>
        </w:rPr>
      </w:pPr>
      <w:r w:rsidRPr="0085659A">
        <w:rPr>
          <w:rFonts w:eastAsia="DengXian" w:cs="Times New Roman"/>
          <w:b/>
          <w:bCs/>
          <w:lang w:eastAsia="zh-CN"/>
        </w:rPr>
        <w:lastRenderedPageBreak/>
        <w:t>Keywords:</w:t>
      </w:r>
      <w:r w:rsidRPr="0085659A">
        <w:rPr>
          <w:rFonts w:eastAsia="DengXian" w:cs="Times New Roman"/>
          <w:lang w:eastAsia="zh-CN"/>
        </w:rPr>
        <w:t xml:space="preserve"> PWI, psychiatrist, Croatian, emigration</w:t>
      </w:r>
    </w:p>
    <w:p w:rsidR="0085659A" w:rsidRPr="0085659A" w:rsidRDefault="0085659A" w:rsidP="0085659A">
      <w:pPr>
        <w:spacing w:line="259" w:lineRule="auto"/>
        <w:rPr>
          <w:rFonts w:eastAsia="DengXian" w:cs="Times New Roman"/>
          <w:lang w:eastAsia="zh-CN"/>
        </w:rPr>
      </w:pPr>
    </w:p>
    <w:p w:rsidR="0085659A" w:rsidRPr="0085659A" w:rsidRDefault="00DF3874" w:rsidP="0085659A">
      <w:pPr>
        <w:spacing w:line="259" w:lineRule="auto"/>
        <w:rPr>
          <w:rFonts w:eastAsia="DengXian" w:cs="Times New Roman"/>
          <w:b/>
          <w:bCs/>
          <w:lang w:eastAsia="zh-CN"/>
        </w:rPr>
      </w:pPr>
      <w:hyperlink r:id="rId110" w:history="1">
        <w:proofErr w:type="spellStart"/>
        <w:r w:rsidR="0085659A" w:rsidRPr="0085659A">
          <w:rPr>
            <w:rFonts w:eastAsia="DengXian" w:cs="Times New Roman"/>
            <w:b/>
            <w:bCs/>
            <w:color w:val="0000FF"/>
            <w:u w:val="single"/>
            <w:lang w:eastAsia="zh-CN"/>
          </w:rPr>
          <w:t>Dr.</w:t>
        </w:r>
        <w:proofErr w:type="spellEnd"/>
        <w:r w:rsidR="0085659A" w:rsidRPr="0085659A">
          <w:rPr>
            <w:rFonts w:eastAsia="DengXian" w:cs="Times New Roman"/>
            <w:b/>
            <w:bCs/>
            <w:color w:val="0000FF"/>
            <w:u w:val="single"/>
            <w:lang w:eastAsia="zh-CN"/>
          </w:rPr>
          <w:t xml:space="preserve"> </w:t>
        </w:r>
        <w:proofErr w:type="spellStart"/>
        <w:r w:rsidR="0085659A" w:rsidRPr="0085659A">
          <w:rPr>
            <w:rFonts w:eastAsia="DengXian" w:cs="Times New Roman"/>
            <w:b/>
            <w:bCs/>
            <w:color w:val="0000FF"/>
            <w:u w:val="single"/>
            <w:lang w:eastAsia="zh-CN"/>
          </w:rPr>
          <w:t>Prof.</w:t>
        </w:r>
        <w:proofErr w:type="spellEnd"/>
        <w:r w:rsidR="0085659A" w:rsidRPr="0085659A">
          <w:rPr>
            <w:rFonts w:eastAsia="DengXian" w:cs="Times New Roman"/>
            <w:b/>
            <w:bCs/>
            <w:color w:val="0000FF"/>
            <w:u w:val="single"/>
            <w:lang w:eastAsia="zh-CN"/>
          </w:rPr>
          <w:t xml:space="preserve"> Graciela Tonon</w:t>
        </w:r>
      </w:hyperlink>
    </w:p>
    <w:p w:rsidR="0085659A" w:rsidRPr="0085659A" w:rsidRDefault="0085659A" w:rsidP="0085659A">
      <w:pPr>
        <w:spacing w:line="259" w:lineRule="auto"/>
        <w:rPr>
          <w:rFonts w:eastAsia="DengXian" w:cs="Times New Roman"/>
          <w:lang w:eastAsia="zh-CN"/>
        </w:rPr>
      </w:pPr>
      <w:r w:rsidRPr="0085659A">
        <w:rPr>
          <w:rFonts w:eastAsia="DengXian" w:cs="Times New Roman"/>
          <w:lang w:eastAsia="zh-CN"/>
        </w:rPr>
        <w:t xml:space="preserve">Director UNICOM- </w:t>
      </w:r>
      <w:proofErr w:type="spellStart"/>
      <w:r w:rsidRPr="0085659A">
        <w:rPr>
          <w:rFonts w:eastAsia="DengXian" w:cs="Times New Roman"/>
          <w:lang w:eastAsia="zh-CN"/>
        </w:rPr>
        <w:t>Facultad</w:t>
      </w:r>
      <w:proofErr w:type="spellEnd"/>
      <w:r w:rsidRPr="0085659A">
        <w:rPr>
          <w:rFonts w:eastAsia="DengXian" w:cs="Times New Roman"/>
          <w:lang w:eastAsia="zh-CN"/>
        </w:rPr>
        <w:t xml:space="preserve"> de </w:t>
      </w:r>
      <w:proofErr w:type="spellStart"/>
      <w:r w:rsidRPr="0085659A">
        <w:rPr>
          <w:rFonts w:eastAsia="DengXian" w:cs="Times New Roman"/>
          <w:lang w:eastAsia="zh-CN"/>
        </w:rPr>
        <w:t>Ciencias</w:t>
      </w:r>
      <w:proofErr w:type="spellEnd"/>
      <w:r w:rsidRPr="0085659A">
        <w:rPr>
          <w:rFonts w:eastAsia="DengXian" w:cs="Times New Roman"/>
          <w:lang w:eastAsia="zh-CN"/>
        </w:rPr>
        <w:t xml:space="preserve"> </w:t>
      </w:r>
      <w:proofErr w:type="spellStart"/>
      <w:r w:rsidRPr="0085659A">
        <w:rPr>
          <w:rFonts w:eastAsia="DengXian" w:cs="Times New Roman"/>
          <w:lang w:eastAsia="zh-CN"/>
        </w:rPr>
        <w:t>Sociales</w:t>
      </w:r>
      <w:proofErr w:type="spellEnd"/>
      <w:r w:rsidRPr="0085659A">
        <w:rPr>
          <w:rFonts w:eastAsia="DengXian" w:cs="Times New Roman"/>
          <w:lang w:eastAsia="zh-CN"/>
        </w:rPr>
        <w:t>, Universidad Nacional de Lomas de Zamora</w:t>
      </w:r>
    </w:p>
    <w:p w:rsidR="0085659A" w:rsidRDefault="0085659A" w:rsidP="0085659A">
      <w:pPr>
        <w:spacing w:line="259" w:lineRule="auto"/>
        <w:rPr>
          <w:rFonts w:eastAsia="DengXian" w:cs="Times New Roman"/>
          <w:lang w:eastAsia="zh-CN"/>
        </w:rPr>
      </w:pPr>
      <w:r w:rsidRPr="0085659A">
        <w:rPr>
          <w:rFonts w:eastAsia="DengXian" w:cs="Times New Roman"/>
          <w:b/>
          <w:bCs/>
          <w:lang w:eastAsia="zh-CN"/>
        </w:rPr>
        <w:t>Keywords:</w:t>
      </w:r>
      <w:r w:rsidRPr="0085659A">
        <w:rPr>
          <w:rFonts w:eastAsia="DengXian" w:cs="Times New Roman"/>
          <w:lang w:eastAsia="zh-CN"/>
        </w:rPr>
        <w:t xml:space="preserve"> Quality of life, qualitative methods, community, children, young people, development, Higher Education</w:t>
      </w:r>
    </w:p>
    <w:p w:rsidR="0085659A" w:rsidRPr="0085659A" w:rsidRDefault="0085659A" w:rsidP="0085659A">
      <w:pPr>
        <w:spacing w:line="259" w:lineRule="auto"/>
        <w:rPr>
          <w:rFonts w:eastAsia="DengXian" w:cs="Times New Roman"/>
          <w:lang w:eastAsia="zh-CN"/>
        </w:rPr>
      </w:pPr>
    </w:p>
    <w:p w:rsidR="0085659A" w:rsidRPr="0085659A" w:rsidRDefault="00DF3874" w:rsidP="0085659A">
      <w:pPr>
        <w:spacing w:line="259" w:lineRule="auto"/>
        <w:rPr>
          <w:rFonts w:eastAsia="DengXian" w:cs="Times New Roman"/>
          <w:b/>
          <w:bCs/>
          <w:lang w:eastAsia="zh-CN"/>
        </w:rPr>
      </w:pPr>
      <w:hyperlink r:id="rId111" w:history="1">
        <w:r w:rsidR="0085659A" w:rsidRPr="0085659A">
          <w:rPr>
            <w:rFonts w:eastAsia="DengXian" w:cs="Times New Roman"/>
            <w:b/>
            <w:bCs/>
            <w:color w:val="0000FF"/>
            <w:u w:val="single"/>
            <w:lang w:eastAsia="zh-CN"/>
          </w:rPr>
          <w:t>Dr Jamie Byrne</w:t>
        </w:r>
      </w:hyperlink>
    </w:p>
    <w:p w:rsidR="0085659A" w:rsidRPr="0085659A" w:rsidRDefault="0085659A" w:rsidP="0085659A">
      <w:pPr>
        <w:spacing w:line="259" w:lineRule="auto"/>
        <w:rPr>
          <w:rFonts w:eastAsia="DengXian" w:cs="Times New Roman"/>
          <w:lang w:eastAsia="zh-CN"/>
        </w:rPr>
      </w:pPr>
      <w:r w:rsidRPr="0085659A">
        <w:rPr>
          <w:rFonts w:eastAsia="DengXian" w:cs="Times New Roman"/>
          <w:lang w:eastAsia="zh-CN"/>
        </w:rPr>
        <w:t>Lecturer, Deakin University</w:t>
      </w:r>
    </w:p>
    <w:p w:rsidR="0085659A" w:rsidRPr="0085659A" w:rsidRDefault="0085659A" w:rsidP="0085659A">
      <w:pPr>
        <w:spacing w:line="259" w:lineRule="auto"/>
        <w:rPr>
          <w:rFonts w:eastAsia="DengXian" w:cs="Times New Roman"/>
          <w:lang w:eastAsia="zh-CN"/>
        </w:rPr>
      </w:pPr>
      <w:r w:rsidRPr="0085659A">
        <w:rPr>
          <w:rFonts w:eastAsia="DengXian" w:cs="Times New Roman"/>
          <w:b/>
          <w:bCs/>
          <w:lang w:eastAsia="zh-CN"/>
        </w:rPr>
        <w:t>Keywords:</w:t>
      </w:r>
      <w:r w:rsidRPr="0085659A">
        <w:rPr>
          <w:rFonts w:eastAsia="DengXian" w:cs="Times New Roman"/>
          <w:lang w:eastAsia="zh-CN"/>
        </w:rPr>
        <w:t xml:space="preserve"> Sleep, body clock, mood, emotions, reward</w:t>
      </w:r>
    </w:p>
    <w:p w:rsidR="00411B9B" w:rsidRPr="00BB5D46" w:rsidRDefault="00411B9B" w:rsidP="00411B9B">
      <w:pPr>
        <w:rPr>
          <w:rFonts w:eastAsia="Calibri" w:cs="Times New Roman"/>
          <w:i/>
          <w:szCs w:val="22"/>
          <w:u w:val="single"/>
        </w:rPr>
      </w:pPr>
    </w:p>
    <w:p w:rsidR="00411B9B" w:rsidRDefault="00411B9B" w:rsidP="00411B9B">
      <w:pPr>
        <w:pStyle w:val="NormalWeb"/>
        <w:rPr>
          <w:rFonts w:ascii="Arial" w:hAnsi="Arial" w:cs="Arial"/>
          <w:b/>
          <w:color w:val="000000"/>
          <w:sz w:val="20"/>
          <w:szCs w:val="20"/>
        </w:rPr>
      </w:pPr>
      <w:r>
        <w:rPr>
          <w:rFonts w:ascii="Arial" w:hAnsi="Arial" w:cs="Arial"/>
          <w:b/>
          <w:color w:val="000000"/>
          <w:sz w:val="20"/>
          <w:szCs w:val="20"/>
        </w:rPr>
        <w:t>-----------------------</w:t>
      </w:r>
    </w:p>
    <w:p w:rsidR="002A5B73" w:rsidRPr="002A5B73" w:rsidRDefault="002A5B73" w:rsidP="002A5B73">
      <w:pPr>
        <w:rPr>
          <w:rFonts w:eastAsia="Calibri" w:cs="Times New Roman"/>
          <w:b/>
          <w:lang w:eastAsia="en-AU"/>
        </w:rPr>
      </w:pPr>
      <w:r w:rsidRPr="002A5B73">
        <w:rPr>
          <w:rFonts w:eastAsia="Calibri" w:cs="Times New Roman"/>
          <w:b/>
          <w:lang w:eastAsia="en-AU"/>
        </w:rPr>
        <w:t>References from Fabian</w:t>
      </w:r>
    </w:p>
    <w:p w:rsidR="002A5B73" w:rsidRPr="002A5B73" w:rsidRDefault="002A5B73" w:rsidP="002A5B73">
      <w:pPr>
        <w:rPr>
          <w:rFonts w:eastAsia="Calibri" w:cs="Times New Roman"/>
          <w:lang w:eastAsia="en-AU"/>
        </w:rPr>
      </w:pPr>
      <w:proofErr w:type="spellStart"/>
      <w:r w:rsidRPr="002A5B73">
        <w:rPr>
          <w:rFonts w:eastAsia="Calibri" w:cs="Times New Roman"/>
          <w:lang w:eastAsia="en-AU"/>
        </w:rPr>
        <w:t>Alexandrova</w:t>
      </w:r>
      <w:proofErr w:type="spellEnd"/>
      <w:r w:rsidRPr="002A5B73">
        <w:rPr>
          <w:rFonts w:eastAsia="Calibri" w:cs="Times New Roman"/>
          <w:lang w:eastAsia="en-AU"/>
        </w:rPr>
        <w:t xml:space="preserve">, A. (2018). </w:t>
      </w:r>
      <w:r w:rsidRPr="002A5B73">
        <w:rPr>
          <w:rFonts w:eastAsia="Calibri" w:cs="Times New Roman"/>
          <w:i/>
          <w:iCs/>
          <w:lang w:eastAsia="en-AU"/>
        </w:rPr>
        <w:t xml:space="preserve">A Philosophy for the Science of Well-Being. </w:t>
      </w:r>
      <w:r w:rsidRPr="002A5B73">
        <w:rPr>
          <w:rFonts w:eastAsia="Calibri" w:cs="Times New Roman"/>
          <w:lang w:eastAsia="en-AU"/>
        </w:rPr>
        <w:t>Oxford University Press</w:t>
      </w:r>
    </w:p>
    <w:p w:rsidR="002A5B73" w:rsidRPr="002A5B73" w:rsidRDefault="002A5B73" w:rsidP="002A5B73">
      <w:pPr>
        <w:rPr>
          <w:rFonts w:eastAsia="Calibri" w:cs="Times New Roman"/>
          <w:i/>
          <w:iCs/>
          <w:lang w:eastAsia="en-AU"/>
        </w:rPr>
      </w:pPr>
      <w:proofErr w:type="spellStart"/>
      <w:r w:rsidRPr="002A5B73">
        <w:rPr>
          <w:rFonts w:eastAsia="Calibri" w:cs="Times New Roman"/>
          <w:lang w:eastAsia="en-AU"/>
        </w:rPr>
        <w:t>Alexandrova</w:t>
      </w:r>
      <w:proofErr w:type="spellEnd"/>
      <w:r w:rsidRPr="002A5B73">
        <w:rPr>
          <w:rFonts w:eastAsia="Calibri" w:cs="Times New Roman"/>
          <w:lang w:eastAsia="en-AU"/>
        </w:rPr>
        <w:t xml:space="preserve">, A. and </w:t>
      </w:r>
      <w:proofErr w:type="spellStart"/>
      <w:r w:rsidRPr="002A5B73">
        <w:rPr>
          <w:rFonts w:eastAsia="Calibri" w:cs="Times New Roman"/>
          <w:lang w:eastAsia="en-AU"/>
        </w:rPr>
        <w:t>Haybron</w:t>
      </w:r>
      <w:proofErr w:type="spellEnd"/>
      <w:r w:rsidRPr="002A5B73">
        <w:rPr>
          <w:rFonts w:eastAsia="Calibri" w:cs="Times New Roman"/>
          <w:lang w:eastAsia="en-AU"/>
        </w:rPr>
        <w:t xml:space="preserve">, D. (2016). Is Construct Validation Valid? </w:t>
      </w:r>
      <w:r w:rsidRPr="002A5B73">
        <w:rPr>
          <w:rFonts w:eastAsia="Calibri" w:cs="Times New Roman"/>
          <w:i/>
          <w:iCs/>
          <w:lang w:eastAsia="en-AU"/>
        </w:rPr>
        <w:t>Philosophy of</w:t>
      </w:r>
    </w:p>
    <w:p w:rsidR="002A5B73" w:rsidRPr="002A5B73" w:rsidRDefault="002A5B73" w:rsidP="002A5B73">
      <w:pPr>
        <w:ind w:firstLine="720"/>
        <w:rPr>
          <w:rFonts w:eastAsia="Calibri" w:cs="Times New Roman"/>
          <w:lang w:eastAsia="en-AU"/>
        </w:rPr>
      </w:pPr>
      <w:r w:rsidRPr="002A5B73">
        <w:rPr>
          <w:rFonts w:eastAsia="Calibri" w:cs="Times New Roman"/>
          <w:i/>
          <w:iCs/>
          <w:lang w:eastAsia="en-AU"/>
        </w:rPr>
        <w:t xml:space="preserve"> Science, </w:t>
      </w:r>
      <w:r w:rsidRPr="002A5B73">
        <w:rPr>
          <w:rFonts w:eastAsia="Calibri" w:cs="Times New Roman"/>
          <w:lang w:eastAsia="en-AU"/>
        </w:rPr>
        <w:t>vol. 83, no. 5</w:t>
      </w:r>
    </w:p>
    <w:p w:rsidR="002A5B73" w:rsidRPr="002A5B73" w:rsidRDefault="002A5B73" w:rsidP="002A5B73">
      <w:pPr>
        <w:rPr>
          <w:rFonts w:eastAsia="Calibri" w:cs="Times New Roman"/>
          <w:lang w:eastAsia="en-AU"/>
        </w:rPr>
      </w:pPr>
      <w:r w:rsidRPr="002A5B73">
        <w:rPr>
          <w:rFonts w:eastAsia="Calibri" w:cs="Times New Roman"/>
          <w:lang w:eastAsia="en-AU"/>
        </w:rPr>
        <w:t>Huppert, F. and So, T. (2013). Flourishing Across Europe: Applications of a New Conceptual</w:t>
      </w:r>
    </w:p>
    <w:p w:rsidR="002A5B73" w:rsidRPr="002A5B73" w:rsidRDefault="002A5B73" w:rsidP="002A5B73">
      <w:pPr>
        <w:ind w:firstLine="720"/>
        <w:rPr>
          <w:rFonts w:eastAsia="Calibri" w:cs="Times New Roman"/>
          <w:lang w:eastAsia="en-AU"/>
        </w:rPr>
      </w:pPr>
      <w:r w:rsidRPr="002A5B73">
        <w:rPr>
          <w:rFonts w:eastAsia="Calibri" w:cs="Times New Roman"/>
          <w:lang w:eastAsia="en-AU"/>
        </w:rPr>
        <w:t xml:space="preserve"> Framework for Defining Well-Being. </w:t>
      </w:r>
      <w:r w:rsidRPr="002A5B73">
        <w:rPr>
          <w:rFonts w:eastAsia="Calibri" w:cs="Times New Roman"/>
          <w:i/>
          <w:iCs/>
          <w:lang w:eastAsia="en-AU"/>
        </w:rPr>
        <w:t xml:space="preserve">Social Indicators Research, </w:t>
      </w:r>
      <w:r w:rsidRPr="002A5B73">
        <w:rPr>
          <w:rFonts w:eastAsia="Calibri" w:cs="Times New Roman"/>
          <w:lang w:eastAsia="en-AU"/>
        </w:rPr>
        <w:t>vol. 110, no. 3</w:t>
      </w:r>
    </w:p>
    <w:p w:rsidR="002A5B73" w:rsidRPr="002A5B73" w:rsidRDefault="002A5B73" w:rsidP="002A5B73">
      <w:pPr>
        <w:ind w:firstLine="720"/>
        <w:rPr>
          <w:rFonts w:eastAsia="Calibri" w:cs="Times New Roman"/>
          <w:lang w:eastAsia="en-AU"/>
        </w:rPr>
      </w:pPr>
      <w:r w:rsidRPr="002A5B73">
        <w:rPr>
          <w:rFonts w:eastAsia="Calibri" w:cs="Times New Roman"/>
          <w:lang w:eastAsia="en-AU"/>
        </w:rPr>
        <w:t xml:space="preserve">Sumner, L. (1999). </w:t>
      </w:r>
      <w:r w:rsidRPr="002A5B73">
        <w:rPr>
          <w:rFonts w:eastAsia="Calibri" w:cs="Times New Roman"/>
          <w:i/>
          <w:iCs/>
          <w:lang w:eastAsia="en-AU"/>
        </w:rPr>
        <w:t xml:space="preserve">Welfare, </w:t>
      </w:r>
      <w:proofErr w:type="spellStart"/>
      <w:r w:rsidRPr="002A5B73">
        <w:rPr>
          <w:rFonts w:eastAsia="Calibri" w:cs="Times New Roman"/>
          <w:i/>
          <w:iCs/>
          <w:lang w:eastAsia="en-AU"/>
        </w:rPr>
        <w:t>Happines</w:t>
      </w:r>
      <w:proofErr w:type="spellEnd"/>
      <w:r w:rsidRPr="002A5B73">
        <w:rPr>
          <w:rFonts w:eastAsia="Calibri" w:cs="Times New Roman"/>
          <w:i/>
          <w:iCs/>
          <w:lang w:eastAsia="en-AU"/>
        </w:rPr>
        <w:t>, and Ethics</w:t>
      </w:r>
      <w:r w:rsidRPr="002A5B73">
        <w:rPr>
          <w:rFonts w:eastAsia="Calibri" w:cs="Times New Roman"/>
          <w:lang w:eastAsia="en-AU"/>
        </w:rPr>
        <w:t>. Clarendon Press</w:t>
      </w:r>
    </w:p>
    <w:p w:rsidR="002A5B73" w:rsidRPr="002A5B73" w:rsidRDefault="002A5B73" w:rsidP="002A5B73">
      <w:pPr>
        <w:rPr>
          <w:rFonts w:eastAsia="Calibri" w:cs="Times New Roman"/>
          <w:lang w:eastAsia="en-AU"/>
        </w:rPr>
      </w:pPr>
      <w:r w:rsidRPr="002A5B73">
        <w:rPr>
          <w:rFonts w:eastAsia="Calibri" w:cs="Times New Roman"/>
          <w:lang w:eastAsia="en-AU"/>
        </w:rPr>
        <w:t>OECD (2013). Guidelines for Measuring Subjective Well-Being. Paris, FR: OECD</w:t>
      </w:r>
    </w:p>
    <w:p w:rsidR="002A5B73" w:rsidRPr="002A5B73" w:rsidRDefault="002A5B73" w:rsidP="002A5B73">
      <w:pPr>
        <w:rPr>
          <w:rFonts w:eastAsia="Calibri" w:cs="Times New Roman"/>
          <w:i/>
          <w:iCs/>
          <w:lang w:eastAsia="en-AU"/>
        </w:rPr>
      </w:pPr>
      <w:r w:rsidRPr="002A5B73">
        <w:rPr>
          <w:rFonts w:eastAsia="Calibri" w:cs="Times New Roman"/>
          <w:lang w:eastAsia="en-AU"/>
        </w:rPr>
        <w:t xml:space="preserve">Stone, A. and Mackie, C. (2013). </w:t>
      </w:r>
      <w:r w:rsidRPr="002A5B73">
        <w:rPr>
          <w:rFonts w:eastAsia="Calibri" w:cs="Times New Roman"/>
          <w:i/>
          <w:iCs/>
          <w:lang w:eastAsia="en-AU"/>
        </w:rPr>
        <w:t xml:space="preserve">Subjective Well-Being: Measuring Well-Being, Suffering, </w:t>
      </w:r>
    </w:p>
    <w:p w:rsidR="002A5B73" w:rsidRPr="002A5B73" w:rsidRDefault="002A5B73" w:rsidP="002A5B73">
      <w:pPr>
        <w:ind w:left="720"/>
        <w:rPr>
          <w:rFonts w:eastAsia="Calibri" w:cs="Times New Roman"/>
          <w:lang w:eastAsia="en-AU"/>
        </w:rPr>
      </w:pPr>
      <w:r w:rsidRPr="002A5B73">
        <w:rPr>
          <w:rFonts w:eastAsia="Calibri" w:cs="Times New Roman"/>
          <w:i/>
          <w:iCs/>
          <w:lang w:eastAsia="en-AU"/>
        </w:rPr>
        <w:t>and other Dimensions of Experience</w:t>
      </w:r>
      <w:r w:rsidRPr="002A5B73">
        <w:rPr>
          <w:rFonts w:eastAsia="Calibri" w:cs="Times New Roman"/>
          <w:lang w:eastAsia="en-AU"/>
        </w:rPr>
        <w:t>. National Research Council Report. National Academies Press.  </w:t>
      </w:r>
    </w:p>
    <w:p w:rsidR="002A5B73" w:rsidRPr="002A5B73" w:rsidRDefault="002A5B73" w:rsidP="002A5B73">
      <w:pPr>
        <w:rPr>
          <w:rFonts w:eastAsia="Calibri" w:cs="Times New Roman"/>
          <w:i/>
          <w:iCs/>
          <w:lang w:eastAsia="en-AU"/>
        </w:rPr>
      </w:pPr>
      <w:r w:rsidRPr="002A5B73">
        <w:rPr>
          <w:rFonts w:eastAsia="Calibri" w:cs="Times New Roman"/>
          <w:lang w:eastAsia="en-AU"/>
        </w:rPr>
        <w:t xml:space="preserve">Clark, A.; Fleche, S.; Layard, R.; </w:t>
      </w:r>
      <w:proofErr w:type="spellStart"/>
      <w:r w:rsidRPr="002A5B73">
        <w:rPr>
          <w:rFonts w:eastAsia="Calibri" w:cs="Times New Roman"/>
          <w:lang w:eastAsia="en-AU"/>
        </w:rPr>
        <w:t>Powdthavee</w:t>
      </w:r>
      <w:proofErr w:type="spellEnd"/>
      <w:r w:rsidRPr="002A5B73">
        <w:rPr>
          <w:rFonts w:eastAsia="Calibri" w:cs="Times New Roman"/>
          <w:lang w:eastAsia="en-AU"/>
        </w:rPr>
        <w:t xml:space="preserve">, N. and Ward, G. (2018). </w:t>
      </w:r>
      <w:r w:rsidRPr="002A5B73">
        <w:rPr>
          <w:rFonts w:eastAsia="Calibri" w:cs="Times New Roman"/>
          <w:i/>
          <w:iCs/>
          <w:lang w:eastAsia="en-AU"/>
        </w:rPr>
        <w:t xml:space="preserve">The Origins of </w:t>
      </w:r>
    </w:p>
    <w:p w:rsidR="002A5B73" w:rsidRPr="002A5B73" w:rsidRDefault="002A5B73" w:rsidP="002A5B73">
      <w:pPr>
        <w:rPr>
          <w:rFonts w:eastAsia="Calibri" w:cs="Times New Roman"/>
          <w:lang w:eastAsia="en-AU"/>
        </w:rPr>
      </w:pPr>
      <w:r w:rsidRPr="002A5B73">
        <w:rPr>
          <w:rFonts w:eastAsia="Calibri" w:cs="Times New Roman"/>
          <w:i/>
          <w:iCs/>
          <w:lang w:eastAsia="en-AU"/>
        </w:rPr>
        <w:tab/>
        <w:t>Happiness</w:t>
      </w:r>
      <w:r w:rsidRPr="002A5B73">
        <w:rPr>
          <w:rFonts w:eastAsia="Calibri" w:cs="Times New Roman"/>
          <w:lang w:eastAsia="en-AU"/>
        </w:rPr>
        <w:t>. Princeton University Press.  </w:t>
      </w:r>
    </w:p>
    <w:p w:rsidR="002A5B73" w:rsidRPr="002A5B73" w:rsidRDefault="002A5B73" w:rsidP="002A5B73">
      <w:pPr>
        <w:rPr>
          <w:rFonts w:eastAsia="Calibri" w:cs="Times New Roman"/>
          <w:lang w:eastAsia="en-AU"/>
        </w:rPr>
      </w:pPr>
      <w:proofErr w:type="spellStart"/>
      <w:r w:rsidRPr="002A5B73">
        <w:rPr>
          <w:rFonts w:eastAsia="Calibri" w:cs="Times New Roman"/>
          <w:lang w:eastAsia="en-AU"/>
        </w:rPr>
        <w:t>Haybron</w:t>
      </w:r>
      <w:proofErr w:type="spellEnd"/>
      <w:r w:rsidRPr="002A5B73">
        <w:rPr>
          <w:rFonts w:eastAsia="Calibri" w:cs="Times New Roman"/>
          <w:lang w:eastAsia="en-AU"/>
        </w:rPr>
        <w:t xml:space="preserve">, D. (2008). </w:t>
      </w:r>
      <w:r w:rsidRPr="002A5B73">
        <w:rPr>
          <w:rFonts w:eastAsia="Calibri" w:cs="Times New Roman"/>
          <w:i/>
          <w:iCs/>
          <w:lang w:eastAsia="en-AU"/>
        </w:rPr>
        <w:t>The Pursuit of Unhappiness: The Illusive Psychology of Well-Being</w:t>
      </w:r>
      <w:r w:rsidRPr="002A5B73">
        <w:rPr>
          <w:rFonts w:eastAsia="Calibri" w:cs="Times New Roman"/>
          <w:lang w:eastAsia="en-AU"/>
        </w:rPr>
        <w:t xml:space="preserve">. </w:t>
      </w:r>
    </w:p>
    <w:p w:rsidR="002A5B73" w:rsidRPr="002A5B73" w:rsidRDefault="002A5B73" w:rsidP="002A5B73">
      <w:pPr>
        <w:rPr>
          <w:rFonts w:eastAsia="Calibri" w:cs="Times New Roman"/>
          <w:lang w:eastAsia="en-AU"/>
        </w:rPr>
      </w:pPr>
      <w:r w:rsidRPr="002A5B73">
        <w:rPr>
          <w:rFonts w:eastAsia="Calibri" w:cs="Times New Roman"/>
          <w:lang w:eastAsia="en-AU"/>
        </w:rPr>
        <w:tab/>
        <w:t>Oxford University Press</w:t>
      </w:r>
    </w:p>
    <w:p w:rsidR="002A5B73" w:rsidRPr="002A5B73" w:rsidRDefault="002A5B73" w:rsidP="002A5B73">
      <w:pPr>
        <w:rPr>
          <w:rFonts w:eastAsia="Calibri" w:cs="Times New Roman"/>
          <w:lang w:eastAsia="en-AU"/>
        </w:rPr>
      </w:pPr>
      <w:r w:rsidRPr="002A5B73">
        <w:rPr>
          <w:rFonts w:eastAsia="Calibri" w:cs="Times New Roman"/>
          <w:lang w:eastAsia="en-AU"/>
        </w:rPr>
        <w:t xml:space="preserve">Huxley, A. </w:t>
      </w:r>
      <w:r w:rsidRPr="002A5B73">
        <w:rPr>
          <w:rFonts w:eastAsia="Calibri" w:cs="Times New Roman"/>
          <w:i/>
          <w:iCs/>
          <w:lang w:eastAsia="en-AU"/>
        </w:rPr>
        <w:t xml:space="preserve">Brave New World. </w:t>
      </w:r>
      <w:r w:rsidRPr="002A5B73">
        <w:rPr>
          <w:rFonts w:eastAsia="Calibri" w:cs="Times New Roman"/>
          <w:lang w:eastAsia="en-AU"/>
        </w:rPr>
        <w:t xml:space="preserve">Available for free </w:t>
      </w:r>
    </w:p>
    <w:p w:rsidR="002A5B73" w:rsidRPr="002A5B73" w:rsidRDefault="002A5B73" w:rsidP="002A5B73">
      <w:pPr>
        <w:rPr>
          <w:rFonts w:eastAsia="Calibri" w:cs="Times New Roman"/>
          <w:lang w:eastAsia="en-AU"/>
        </w:rPr>
      </w:pPr>
      <w:r w:rsidRPr="002A5B73">
        <w:rPr>
          <w:rFonts w:eastAsia="Calibri" w:cs="Times New Roman"/>
          <w:lang w:eastAsia="en-AU"/>
        </w:rPr>
        <w:tab/>
        <w:t>at: </w:t>
      </w:r>
      <w:hyperlink r:id="rId112" w:history="1">
        <w:r w:rsidRPr="002A5B73">
          <w:rPr>
            <w:rFonts w:eastAsia="Calibri" w:cs="Times New Roman"/>
            <w:color w:val="0000FF"/>
            <w:u w:val="single"/>
            <w:lang w:eastAsia="en-AU"/>
          </w:rPr>
          <w:t>http://www.idph.com.br/conteudos/ebooks/BraveNewWorld.pdf</w:t>
        </w:r>
      </w:hyperlink>
    </w:p>
    <w:p w:rsidR="002A5B73" w:rsidRPr="002A5B73" w:rsidRDefault="002A5B73" w:rsidP="002A5B73">
      <w:pPr>
        <w:rPr>
          <w:rFonts w:eastAsia="Calibri" w:cs="Times New Roman"/>
          <w:lang w:eastAsia="en-AU"/>
        </w:rPr>
      </w:pPr>
      <w:r w:rsidRPr="002A5B73">
        <w:rPr>
          <w:rFonts w:eastAsia="Calibri" w:cs="Times New Roman"/>
          <w:lang w:eastAsia="en-AU"/>
        </w:rPr>
        <w:t>Deci, E. and Ryan, R. (2000). The "What" and "Why" of Goal Pursuits: Human Needs and</w:t>
      </w:r>
    </w:p>
    <w:p w:rsidR="002A5B73" w:rsidRPr="002A5B73" w:rsidRDefault="002A5B73" w:rsidP="002A5B73">
      <w:pPr>
        <w:ind w:firstLine="720"/>
        <w:rPr>
          <w:rFonts w:eastAsia="Calibri" w:cs="Times New Roman"/>
          <w:lang w:eastAsia="en-AU"/>
        </w:rPr>
      </w:pPr>
      <w:r w:rsidRPr="002A5B73">
        <w:rPr>
          <w:rFonts w:eastAsia="Calibri" w:cs="Times New Roman"/>
          <w:lang w:eastAsia="en-AU"/>
        </w:rPr>
        <w:t xml:space="preserve"> the Self-Determination of Behaviour. </w:t>
      </w:r>
      <w:r w:rsidRPr="002A5B73">
        <w:rPr>
          <w:rFonts w:eastAsia="Calibri" w:cs="Times New Roman"/>
          <w:i/>
          <w:iCs/>
          <w:lang w:eastAsia="en-AU"/>
        </w:rPr>
        <w:t xml:space="preserve">Psychological Inquiry, </w:t>
      </w:r>
      <w:r w:rsidRPr="002A5B73">
        <w:rPr>
          <w:rFonts w:eastAsia="Calibri" w:cs="Times New Roman"/>
          <w:lang w:eastAsia="en-AU"/>
        </w:rPr>
        <w:t>vol. 11, no. 4</w:t>
      </w: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lang w:eastAsia="en-AU"/>
        </w:rPr>
      </w:pPr>
    </w:p>
    <w:p w:rsidR="002A5B73" w:rsidRPr="002A5B73" w:rsidRDefault="002A5B73" w:rsidP="002A5B73">
      <w:pPr>
        <w:rPr>
          <w:rFonts w:eastAsia="Calibri" w:cs="Times New Roman"/>
          <w:b/>
          <w:lang w:eastAsia="en-AU"/>
        </w:rPr>
      </w:pPr>
      <w:r w:rsidRPr="002A5B73">
        <w:rPr>
          <w:rFonts w:eastAsia="Calibri" w:cs="Times New Roman"/>
          <w:b/>
          <w:lang w:eastAsia="en-AU"/>
        </w:rPr>
        <w:t>References from Cummins</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fldChar w:fldCharType="begin"/>
      </w:r>
      <w:r w:rsidRPr="002A5B73">
        <w:rPr>
          <w:rFonts w:eastAsia="Calibri" w:cs="Times New Roman"/>
          <w:noProof/>
          <w:lang w:eastAsia="en-AU"/>
        </w:rPr>
        <w:instrText xml:space="preserve"> ADDIN EN.REFLIST </w:instrText>
      </w:r>
      <w:r w:rsidRPr="002A5B73">
        <w:rPr>
          <w:rFonts w:eastAsia="Calibri" w:cs="Times New Roman"/>
          <w:noProof/>
          <w:lang w:eastAsia="en-AU"/>
        </w:rPr>
        <w:fldChar w:fldCharType="separate"/>
      </w:r>
      <w:r w:rsidRPr="002A5B73">
        <w:rPr>
          <w:rFonts w:eastAsia="Calibri" w:cs="Times New Roman"/>
          <w:noProof/>
          <w:lang w:eastAsia="en-AU"/>
        </w:rPr>
        <w:t xml:space="preserve">Alexandrova, A., &amp; Haybron, D. M. (2016). Is construct validation valid? </w:t>
      </w:r>
      <w:r w:rsidRPr="002A5B73">
        <w:rPr>
          <w:rFonts w:eastAsia="Calibri" w:cs="Times New Roman"/>
          <w:i/>
          <w:noProof/>
          <w:lang w:eastAsia="en-AU"/>
        </w:rPr>
        <w:t>Philosophy of Science, 83</w:t>
      </w:r>
      <w:r w:rsidRPr="002A5B73">
        <w:rPr>
          <w:rFonts w:eastAsia="Calibri" w:cs="Times New Roman"/>
          <w:noProof/>
          <w:lang w:eastAsia="en-AU"/>
        </w:rPr>
        <w:t xml:space="preserve">(5), 1098-1109. </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Cronbach, L. J., &amp; Meehl, P. E. (1955). Construct validity in psychological tests. </w:t>
      </w:r>
      <w:r w:rsidRPr="002A5B73">
        <w:rPr>
          <w:rFonts w:eastAsia="Calibri" w:cs="Times New Roman"/>
          <w:i/>
          <w:noProof/>
          <w:lang w:eastAsia="en-AU"/>
        </w:rPr>
        <w:t>Psychological Bulletin, 52</w:t>
      </w:r>
      <w:r w:rsidRPr="002A5B73">
        <w:rPr>
          <w:rFonts w:eastAsia="Calibri" w:cs="Times New Roman"/>
          <w:noProof/>
          <w:lang w:eastAsia="en-AU"/>
        </w:rPr>
        <w:t xml:space="preserve">(4), 281-302. </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Cummins, R. A. (2017a). </w:t>
      </w:r>
      <w:r w:rsidRPr="002A5B73">
        <w:rPr>
          <w:rFonts w:eastAsia="Calibri" w:cs="Times New Roman"/>
          <w:i/>
          <w:noProof/>
          <w:lang w:eastAsia="en-AU"/>
        </w:rPr>
        <w:t>Subjective Wellbeing Homeostasis - Second edition</w:t>
      </w:r>
      <w:r w:rsidRPr="002A5B73">
        <w:rPr>
          <w:rFonts w:eastAsia="Calibri" w:cs="Times New Roman"/>
          <w:noProof/>
          <w:lang w:eastAsia="en-AU"/>
        </w:rPr>
        <w:t xml:space="preserve">. In D. S. Dunn (Ed.), </w:t>
      </w:r>
      <w:r w:rsidRPr="002A5B73">
        <w:rPr>
          <w:rFonts w:eastAsia="Calibri" w:cs="Times New Roman"/>
          <w:i/>
          <w:noProof/>
          <w:lang w:eastAsia="en-AU"/>
        </w:rPr>
        <w:t>Oxford Bibliographies Online</w:t>
      </w:r>
      <w:r w:rsidRPr="002A5B73">
        <w:rPr>
          <w:rFonts w:eastAsia="Calibri" w:cs="Times New Roman"/>
          <w:noProof/>
          <w:lang w:eastAsia="en-AU"/>
        </w:rPr>
        <w:t xml:space="preserve">. Retrieved from </w:t>
      </w:r>
      <w:hyperlink r:id="rId113" w:history="1">
        <w:r w:rsidRPr="002A5B73">
          <w:rPr>
            <w:rFonts w:eastAsia="Calibri" w:cs="Times New Roman"/>
            <w:noProof/>
            <w:color w:val="0563C1"/>
            <w:u w:val="single"/>
            <w:lang w:eastAsia="en-AU"/>
          </w:rPr>
          <w:t>http://www.oxfordbibliographies.com/view/document/obo-9780199828340/obo-9780199828340-0167.xml</w:t>
        </w:r>
      </w:hyperlink>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Cummins, R. A. (2018c). The Golden Triangle of Happiness: Essential resources for a happy family. </w:t>
      </w:r>
      <w:r w:rsidRPr="002A5B73">
        <w:rPr>
          <w:rFonts w:eastAsia="Calibri" w:cs="Times New Roman"/>
          <w:i/>
          <w:noProof/>
          <w:lang w:eastAsia="en-AU"/>
        </w:rPr>
        <w:t>International Journal of Child, Youth &amp; Family Studies, 9</w:t>
      </w:r>
      <w:r w:rsidRPr="002A5B73">
        <w:rPr>
          <w:rFonts w:eastAsia="Calibri" w:cs="Times New Roman"/>
          <w:noProof/>
          <w:lang w:eastAsia="en-AU"/>
        </w:rPr>
        <w:t xml:space="preserve">(4), 12–39. </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Cummins, R. A., Capic, T., Hutchinson, D., Fuller-Tyszkiewicz, M., Olsson, C. A., &amp; Richardson, B. (2018). Why self-report variables inter-correlate: The role of Homeostatically Protected Mood. </w:t>
      </w:r>
      <w:r w:rsidRPr="002A5B73">
        <w:rPr>
          <w:rFonts w:eastAsia="Calibri" w:cs="Times New Roman"/>
          <w:i/>
          <w:noProof/>
          <w:lang w:eastAsia="en-AU"/>
        </w:rPr>
        <w:t>Journal of Wellbeing Assessment, 2</w:t>
      </w:r>
      <w:r w:rsidRPr="002A5B73">
        <w:rPr>
          <w:rFonts w:eastAsia="Calibri" w:cs="Times New Roman"/>
          <w:noProof/>
          <w:lang w:eastAsia="en-AU"/>
        </w:rPr>
        <w:t>, 93-114. doi:10.1007/s41543-018-0014-0</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lastRenderedPageBreak/>
        <w:t xml:space="preserve">Davern, M., Cummins, R. A., &amp; Stokes, M. (2007). Subjective wellbeing as an affective/cognitive construct. </w:t>
      </w:r>
      <w:r w:rsidRPr="002A5B73">
        <w:rPr>
          <w:rFonts w:eastAsia="Calibri" w:cs="Times New Roman"/>
          <w:i/>
          <w:noProof/>
          <w:lang w:eastAsia="en-AU"/>
        </w:rPr>
        <w:t>Journal of Happiness Studies, 8</w:t>
      </w:r>
      <w:r w:rsidRPr="002A5B73">
        <w:rPr>
          <w:rFonts w:eastAsia="Calibri" w:cs="Times New Roman"/>
          <w:noProof/>
          <w:lang w:eastAsia="en-AU"/>
        </w:rPr>
        <w:t>(4), 429-449. doi:10.1007/s10902-007-9066-1</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Mikulincer, M., Florian, V., &amp; Tolmacz, R. (1990). Attachment styles and fear of personal death: A case study of affect regulation. </w:t>
      </w:r>
      <w:r w:rsidRPr="002A5B73">
        <w:rPr>
          <w:rFonts w:eastAsia="Calibri" w:cs="Times New Roman"/>
          <w:i/>
          <w:noProof/>
          <w:lang w:eastAsia="en-AU"/>
        </w:rPr>
        <w:t>Journal of Personality and Social Psychology, 58</w:t>
      </w:r>
      <w:r w:rsidRPr="002A5B73">
        <w:rPr>
          <w:rFonts w:eastAsia="Calibri" w:cs="Times New Roman"/>
          <w:noProof/>
          <w:lang w:eastAsia="en-AU"/>
        </w:rPr>
        <w:t xml:space="preserve">, 273-280. </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O'Brien, E., &amp; Epstein, S. (1988). </w:t>
      </w:r>
      <w:r w:rsidRPr="002A5B73">
        <w:rPr>
          <w:rFonts w:eastAsia="Calibri" w:cs="Times New Roman"/>
          <w:i/>
          <w:noProof/>
          <w:lang w:eastAsia="en-AU"/>
        </w:rPr>
        <w:t>The Multidimensional Self-Esteem Inventory: Professional manual</w:t>
      </w:r>
      <w:r w:rsidRPr="002A5B73">
        <w:rPr>
          <w:rFonts w:eastAsia="Calibri" w:cs="Times New Roman"/>
          <w:noProof/>
          <w:lang w:eastAsia="en-AU"/>
        </w:rPr>
        <w:t>. Odessa, FL: Psychological Assessment Resources.</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Reis, H. T., Sheldon, K. M., Gable, S. L., Roscoe, J., &amp; Ryan, R. M. (2000). Daily well-being: The role of autonomy, competence, and relatedness. </w:t>
      </w:r>
      <w:r w:rsidRPr="002A5B73">
        <w:rPr>
          <w:rFonts w:eastAsia="Calibri" w:cs="Times New Roman"/>
          <w:i/>
          <w:noProof/>
          <w:lang w:eastAsia="en-AU"/>
        </w:rPr>
        <w:t>Personality and Social Psychology Bulletin, 26</w:t>
      </w:r>
      <w:r w:rsidRPr="002A5B73">
        <w:rPr>
          <w:rFonts w:eastAsia="Calibri" w:cs="Times New Roman"/>
          <w:noProof/>
          <w:lang w:eastAsia="en-AU"/>
        </w:rPr>
        <w:t xml:space="preserve">(4), 419-435. </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Russel, D., Peplau, L. A., &amp; Cutrona, C. E. (1980). The revised UCLA Loneliness Scale: Concurrent and discriminant validity evidence. </w:t>
      </w:r>
      <w:r w:rsidRPr="002A5B73">
        <w:rPr>
          <w:rFonts w:eastAsia="Calibri" w:cs="Times New Roman"/>
          <w:i/>
          <w:noProof/>
          <w:lang w:eastAsia="en-AU"/>
        </w:rPr>
        <w:t>Journal of Personality and Social Psychology, 39</w:t>
      </w:r>
      <w:r w:rsidRPr="002A5B73">
        <w:rPr>
          <w:rFonts w:eastAsia="Calibri" w:cs="Times New Roman"/>
          <w:noProof/>
          <w:lang w:eastAsia="en-AU"/>
        </w:rPr>
        <w:t xml:space="preserve">(3), 472-480. </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Ryan, R. M., &amp; Deci, E. L. (2000). Self-determination theory and the facilitation of intrinsic motivation, social development, and well-being. </w:t>
      </w:r>
      <w:r w:rsidRPr="002A5B73">
        <w:rPr>
          <w:rFonts w:eastAsia="Calibri" w:cs="Times New Roman"/>
          <w:i/>
          <w:noProof/>
          <w:lang w:eastAsia="en-AU"/>
        </w:rPr>
        <w:t>American Psychologist, 55</w:t>
      </w:r>
      <w:r w:rsidRPr="002A5B73">
        <w:rPr>
          <w:rFonts w:eastAsia="Calibri" w:cs="Times New Roman"/>
          <w:noProof/>
          <w:lang w:eastAsia="en-AU"/>
        </w:rPr>
        <w:t xml:space="preserve">(1), 68-78. </w:t>
      </w:r>
    </w:p>
    <w:p w:rsidR="002A5B73" w:rsidRPr="002A5B73" w:rsidRDefault="002A5B73" w:rsidP="002A5B73">
      <w:pPr>
        <w:ind w:left="720" w:hanging="720"/>
        <w:rPr>
          <w:rFonts w:eastAsia="Calibri" w:cs="Times New Roman"/>
          <w:noProof/>
          <w:lang w:eastAsia="en-AU"/>
        </w:rPr>
      </w:pPr>
      <w:r w:rsidRPr="002A5B73">
        <w:rPr>
          <w:rFonts w:eastAsia="Calibri" w:cs="Times New Roman"/>
          <w:noProof/>
          <w:lang w:eastAsia="en-AU"/>
        </w:rPr>
        <w:t xml:space="preserve">Sheldon, K. M., &amp; Deci, E. (1996). The self-determination scale. </w:t>
      </w:r>
      <w:r w:rsidRPr="002A5B73">
        <w:rPr>
          <w:rFonts w:eastAsia="Calibri" w:cs="Times New Roman"/>
          <w:i/>
          <w:noProof/>
          <w:lang w:eastAsia="en-AU"/>
        </w:rPr>
        <w:t>Unpublished manuscript, University of Rochester, 754</w:t>
      </w:r>
      <w:r w:rsidRPr="002A5B73">
        <w:rPr>
          <w:rFonts w:eastAsia="Calibri" w:cs="Times New Roman"/>
          <w:noProof/>
          <w:lang w:eastAsia="en-AU"/>
        </w:rPr>
        <w:t xml:space="preserve">. </w:t>
      </w:r>
    </w:p>
    <w:p w:rsidR="002A5B73" w:rsidRDefault="002A5B73" w:rsidP="002A5B73">
      <w:pPr>
        <w:rPr>
          <w:rFonts w:eastAsia="Arial" w:cs="Times New Roman"/>
          <w:i/>
        </w:rPr>
      </w:pPr>
      <w:r w:rsidRPr="002A5B73">
        <w:rPr>
          <w:rFonts w:eastAsia="Calibri" w:cs="Times New Roman"/>
          <w:lang w:eastAsia="en-AU"/>
        </w:rPr>
        <w:fldChar w:fldCharType="end"/>
      </w:r>
    </w:p>
    <w:p w:rsidR="00411B9B" w:rsidRDefault="00411B9B" w:rsidP="0050186C">
      <w:pPr>
        <w:rPr>
          <w:rFonts w:eastAsia="Arial" w:cs="Times New Roman"/>
          <w:b/>
          <w:sz w:val="28"/>
          <w:szCs w:val="28"/>
        </w:rPr>
      </w:pPr>
    </w:p>
    <w:p w:rsidR="003E1BB4" w:rsidRDefault="00740E1E" w:rsidP="00740E1E">
      <w:pPr>
        <w:rPr>
          <w:rFonts w:eastAsia="Arial" w:cs="Times New Roman"/>
          <w:b/>
          <w:sz w:val="28"/>
          <w:szCs w:val="28"/>
        </w:rPr>
      </w:pPr>
      <w:proofErr w:type="spellStart"/>
      <w:r w:rsidRPr="00B73A75">
        <w:rPr>
          <w:rFonts w:eastAsia="Arial" w:cs="Times New Roman"/>
          <w:b/>
          <w:sz w:val="28"/>
          <w:szCs w:val="28"/>
          <w:highlight w:val="green"/>
        </w:rPr>
        <w:t>ACQol</w:t>
      </w:r>
      <w:proofErr w:type="spellEnd"/>
      <w:r w:rsidRPr="00B73A75">
        <w:rPr>
          <w:rFonts w:eastAsia="Arial" w:cs="Times New Roman"/>
          <w:b/>
          <w:sz w:val="28"/>
          <w:szCs w:val="28"/>
          <w:highlight w:val="green"/>
        </w:rPr>
        <w:t xml:space="preserve"> Bulletin Vol 3/</w:t>
      </w:r>
      <w:r w:rsidR="00411B9B" w:rsidRPr="00B73A75">
        <w:rPr>
          <w:rFonts w:eastAsia="Arial" w:cs="Times New Roman"/>
          <w:b/>
          <w:sz w:val="28"/>
          <w:szCs w:val="28"/>
          <w:highlight w:val="green"/>
        </w:rPr>
        <w:t>36</w:t>
      </w:r>
      <w:r w:rsidRPr="00B73A75">
        <w:rPr>
          <w:rFonts w:eastAsia="Arial" w:cs="Times New Roman"/>
          <w:b/>
          <w:sz w:val="28"/>
          <w:szCs w:val="28"/>
          <w:highlight w:val="green"/>
        </w:rPr>
        <w:t xml:space="preserve">: </w:t>
      </w:r>
      <w:r w:rsidR="00411B9B" w:rsidRPr="00B73A75">
        <w:rPr>
          <w:rFonts w:eastAsia="Arial" w:cs="Times New Roman"/>
          <w:b/>
          <w:sz w:val="28"/>
          <w:szCs w:val="28"/>
          <w:highlight w:val="green"/>
        </w:rPr>
        <w:t>050919</w:t>
      </w:r>
      <w:r w:rsidR="003E1BB4" w:rsidRPr="00B73A75">
        <w:rPr>
          <w:rFonts w:eastAsia="Arial" w:cs="Times New Roman"/>
          <w:b/>
          <w:sz w:val="28"/>
          <w:szCs w:val="28"/>
          <w:highlight w:val="green"/>
        </w:rPr>
        <w:t xml:space="preserve">  </w:t>
      </w:r>
    </w:p>
    <w:p w:rsidR="00740E1E" w:rsidRPr="00BB5D46" w:rsidRDefault="00740E1E" w:rsidP="00740E1E">
      <w:pPr>
        <w:rPr>
          <w:rFonts w:eastAsia="Arial" w:cs="Times New Roman"/>
          <w:b/>
          <w:sz w:val="28"/>
          <w:szCs w:val="28"/>
        </w:rPr>
      </w:pPr>
      <w:r w:rsidRPr="00BB5D46">
        <w:rPr>
          <w:rFonts w:eastAsia="Arial" w:cs="Times New Roman"/>
          <w:b/>
          <w:sz w:val="28"/>
          <w:szCs w:val="28"/>
        </w:rPr>
        <w:t>Bulletin of the Australian Centre on Quality of Life</w:t>
      </w:r>
    </w:p>
    <w:p w:rsidR="00740E1E" w:rsidRPr="00BB5D46" w:rsidRDefault="00DF3874" w:rsidP="00740E1E">
      <w:pPr>
        <w:rPr>
          <w:rFonts w:eastAsia="Arial" w:cs="Times New Roman"/>
        </w:rPr>
      </w:pPr>
      <w:hyperlink r:id="rId114" w:history="1">
        <w:r w:rsidR="00740E1E" w:rsidRPr="00BB5D46">
          <w:rPr>
            <w:rFonts w:eastAsia="Arial" w:cs="Times New Roman"/>
            <w:color w:val="0563C1"/>
            <w:u w:val="single"/>
          </w:rPr>
          <w:t>http://www.acqol.com.au/</w:t>
        </w:r>
      </w:hyperlink>
    </w:p>
    <w:p w:rsidR="00740E1E" w:rsidRPr="00AE19B8" w:rsidRDefault="00740E1E" w:rsidP="00740E1E">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740E1E" w:rsidRPr="00BB5D46" w:rsidRDefault="00740E1E" w:rsidP="00740E1E">
      <w:pPr>
        <w:rPr>
          <w:rFonts w:eastAsia="Arial" w:cs="Times New Roman"/>
          <w:b/>
        </w:rPr>
      </w:pPr>
      <w:r w:rsidRPr="00BB5D46">
        <w:rPr>
          <w:rFonts w:eastAsia="Arial" w:cs="Times New Roman"/>
          <w:b/>
        </w:rPr>
        <w:t xml:space="preserve">Back-issues of the Bulletin are available at </w:t>
      </w:r>
      <w:hyperlink r:id="rId115" w:anchor="bulletins" w:history="1">
        <w:r w:rsidRPr="00BB5D46">
          <w:rPr>
            <w:rFonts w:eastAsia="Arial" w:cs="Times New Roman"/>
            <w:color w:val="0563C1"/>
            <w:u w:val="single"/>
          </w:rPr>
          <w:t>http://www.acqol.com.au/projects#bulletins</w:t>
        </w:r>
      </w:hyperlink>
    </w:p>
    <w:p w:rsidR="00740E1E" w:rsidRPr="00BB5D46" w:rsidRDefault="00740E1E" w:rsidP="00740E1E">
      <w:pPr>
        <w:rPr>
          <w:rFonts w:eastAsia="Arial" w:cs="Times New Roman"/>
          <w:color w:val="0563C1"/>
          <w:u w:val="single"/>
        </w:rPr>
      </w:pPr>
    </w:p>
    <w:p w:rsidR="00740E1E" w:rsidRPr="00BB5D46" w:rsidRDefault="00740E1E" w:rsidP="00740E1E">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740E1E" w:rsidRDefault="00740E1E" w:rsidP="00740E1E">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740E1E" w:rsidRDefault="00740E1E" w:rsidP="00740E1E">
      <w:pPr>
        <w:rPr>
          <w:rFonts w:eastAsia="Arial" w:cs="Times New Roman"/>
        </w:rPr>
      </w:pPr>
    </w:p>
    <w:p w:rsidR="00740E1E" w:rsidRPr="00BB5D46" w:rsidRDefault="00740E1E" w:rsidP="00740E1E">
      <w:pPr>
        <w:jc w:val="center"/>
        <w:rPr>
          <w:rFonts w:eastAsia="Arial" w:cs="Times New Roman"/>
          <w:b/>
          <w:sz w:val="32"/>
          <w:szCs w:val="32"/>
        </w:rPr>
      </w:pPr>
      <w:r w:rsidRPr="00BB5D46">
        <w:rPr>
          <w:rFonts w:eastAsia="Arial" w:cs="Times New Roman"/>
          <w:b/>
          <w:sz w:val="32"/>
          <w:szCs w:val="32"/>
        </w:rPr>
        <w:t>Paper for private study</w:t>
      </w:r>
    </w:p>
    <w:p w:rsidR="00740E1E" w:rsidRDefault="00740E1E" w:rsidP="00740E1E">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740E1E" w:rsidRDefault="00740E1E" w:rsidP="00740E1E">
      <w:pPr>
        <w:jc w:val="center"/>
        <w:rPr>
          <w:rFonts w:eastAsia="Arial" w:cs="Times New Roman"/>
        </w:rPr>
      </w:pPr>
    </w:p>
    <w:p w:rsidR="003E1BB4" w:rsidRDefault="00E318B0" w:rsidP="00E318B0">
      <w:pPr>
        <w:rPr>
          <w:rFonts w:eastAsia="Arial" w:cs="Times New Roman"/>
          <w:lang w:val="en-US"/>
        </w:rPr>
      </w:pPr>
      <w:r w:rsidRPr="00BB5D46">
        <w:rPr>
          <w:rFonts w:eastAsia="Arial" w:cs="Times New Roman"/>
          <w:b/>
        </w:rPr>
        <w:t>Background:</w:t>
      </w:r>
      <w:r w:rsidRPr="00BB5D46">
        <w:rPr>
          <w:rFonts w:eastAsia="Arial" w:cs="Times New Roman"/>
        </w:rPr>
        <w:t xml:space="preserve"> </w:t>
      </w:r>
      <w:r>
        <w:rPr>
          <w:rFonts w:eastAsia="Arial" w:cs="Times New Roman"/>
        </w:rPr>
        <w:t xml:space="preserve">This paper has been recommended to us by </w:t>
      </w:r>
      <w:r w:rsidRPr="000D7AC6">
        <w:rPr>
          <w:rFonts w:eastAsia="Arial" w:cs="Times New Roman"/>
          <w:lang w:val="en-US"/>
        </w:rPr>
        <w:t xml:space="preserve">Richard Mills </w:t>
      </w:r>
    </w:p>
    <w:p w:rsidR="00E318B0" w:rsidRPr="000D7AC6" w:rsidRDefault="003E1BB4" w:rsidP="00E318B0">
      <w:pPr>
        <w:rPr>
          <w:rFonts w:eastAsia="Arial" w:cs="Times New Roman"/>
        </w:rPr>
      </w:pPr>
      <w:r>
        <w:rPr>
          <w:rFonts w:eastAsia="Arial" w:cs="Times New Roman"/>
          <w:lang w:val="en-US"/>
        </w:rPr>
        <w:tab/>
      </w:r>
      <w:r>
        <w:rPr>
          <w:rFonts w:eastAsia="Arial" w:cs="Times New Roman"/>
          <w:lang w:val="en-US"/>
        </w:rPr>
        <w:tab/>
      </w:r>
      <w:r w:rsidR="00E318B0" w:rsidRPr="000D7AC6">
        <w:rPr>
          <w:rFonts w:eastAsia="Arial" w:cs="Times New Roman"/>
          <w:lang w:val="en-US"/>
        </w:rPr>
        <w:t>&lt;richardmills@atautism.org&gt;</w:t>
      </w:r>
    </w:p>
    <w:p w:rsidR="00E318B0" w:rsidRPr="000D7AC6" w:rsidRDefault="00E318B0" w:rsidP="00E318B0">
      <w:pPr>
        <w:rPr>
          <w:rFonts w:eastAsia="Arial" w:cs="Times New Roman"/>
          <w:i/>
        </w:rPr>
      </w:pPr>
      <w:r w:rsidRPr="000D7AC6">
        <w:rPr>
          <w:rFonts w:eastAsia="Arial" w:cs="Times New Roman"/>
          <w:i/>
        </w:rPr>
        <w:t>Cummins writes:</w:t>
      </w:r>
    </w:p>
    <w:p w:rsidR="00E318B0" w:rsidRDefault="00E318B0" w:rsidP="00E318B0">
      <w:pPr>
        <w:rPr>
          <w:rFonts w:eastAsia="Arial" w:cs="Times New Roman"/>
        </w:rPr>
      </w:pPr>
      <w:r>
        <w:rPr>
          <w:rFonts w:eastAsia="Arial" w:cs="Times New Roman"/>
        </w:rPr>
        <w:t xml:space="preserve">The two words, </w:t>
      </w:r>
      <w:proofErr w:type="spellStart"/>
      <w:r w:rsidRPr="000D7AC6">
        <w:rPr>
          <w:rFonts w:eastAsia="Arial" w:cs="Times New Roman"/>
          <w:i/>
        </w:rPr>
        <w:t>Eudaimonic</w:t>
      </w:r>
      <w:proofErr w:type="spellEnd"/>
      <w:r w:rsidRPr="000D7AC6">
        <w:rPr>
          <w:rFonts w:eastAsia="Arial" w:cs="Times New Roman"/>
          <w:i/>
        </w:rPr>
        <w:t xml:space="preserve"> and Hedonic</w:t>
      </w:r>
      <w:r>
        <w:rPr>
          <w:rFonts w:eastAsia="Arial" w:cs="Times New Roman"/>
        </w:rPr>
        <w:t>, have no place in contemporary scientific discussion concerning subjective wellbeing (SWB). Coined some 2,500 years ago, they were intellectual marvels of their time. They divided people’s subjective experience, approximately, into feelings (Hedonic) and thoughts (</w:t>
      </w:r>
      <w:proofErr w:type="spellStart"/>
      <w:r>
        <w:rPr>
          <w:rFonts w:eastAsia="Arial" w:cs="Times New Roman"/>
        </w:rPr>
        <w:t>eudaimonic</w:t>
      </w:r>
      <w:proofErr w:type="spellEnd"/>
      <w:r>
        <w:rPr>
          <w:rFonts w:eastAsia="Arial" w:cs="Times New Roman"/>
        </w:rPr>
        <w:t xml:space="preserve">).  This simple dichotomy led to wonderful philosophical discourses on matters such as ethics, virtue, and the meaning of happiness. As a result, the early Greek philosophers enriched civilization in a quantum jump of such magnitude and importance that their insights continue to be debated. However, while accepting that philosophy gave birth to science, still acknowledged in the awarding of the PhD (Doctor of Philosophy) degree to graduates of all university disciplines, this does not mean that science IS philosophy. Contemporary science has a sophistication of procedure and methodology that would have been incomprehensible to Aristotle. Along with this sophistication has come new terminology, which is required to convey contemporary </w:t>
      </w:r>
      <w:r>
        <w:rPr>
          <w:rFonts w:eastAsia="Arial" w:cs="Times New Roman"/>
        </w:rPr>
        <w:lastRenderedPageBreak/>
        <w:t xml:space="preserve">methods and constructs. This is true in all branches of science, including psychological science. Moreover, of course, in order to comprehend such advances, investigators and commentators must become familiar with the </w:t>
      </w:r>
      <w:r w:rsidR="00AA38D7">
        <w:rPr>
          <w:rFonts w:eastAsia="Arial" w:cs="Times New Roman"/>
        </w:rPr>
        <w:t xml:space="preserve">contemporary </w:t>
      </w:r>
      <w:r>
        <w:rPr>
          <w:rFonts w:eastAsia="Arial" w:cs="Times New Roman"/>
        </w:rPr>
        <w:t xml:space="preserve">methods and terminology of each discipline. This is why </w:t>
      </w:r>
      <w:proofErr w:type="spellStart"/>
      <w:r w:rsidRPr="0057202D">
        <w:rPr>
          <w:rFonts w:eastAsia="Arial" w:cs="Times New Roman"/>
        </w:rPr>
        <w:t>Eudaimonic</w:t>
      </w:r>
      <w:proofErr w:type="spellEnd"/>
      <w:r w:rsidRPr="0057202D">
        <w:rPr>
          <w:rFonts w:eastAsia="Arial" w:cs="Times New Roman"/>
        </w:rPr>
        <w:t xml:space="preserve"> and Hedonic</w:t>
      </w:r>
      <w:r>
        <w:rPr>
          <w:rFonts w:eastAsia="Arial" w:cs="Times New Roman"/>
        </w:rPr>
        <w:t xml:space="preserve"> are now archaic and misleading terms for science in general. </w:t>
      </w:r>
    </w:p>
    <w:p w:rsidR="00E318B0" w:rsidRDefault="00E318B0" w:rsidP="00E318B0">
      <w:pPr>
        <w:rPr>
          <w:rFonts w:eastAsia="Arial" w:cs="Times New Roman"/>
        </w:rPr>
      </w:pPr>
    </w:p>
    <w:p w:rsidR="00E318B0" w:rsidRPr="00CD03A2" w:rsidRDefault="00E318B0" w:rsidP="00E318B0">
      <w:pPr>
        <w:rPr>
          <w:rFonts w:eastAsia="Arial" w:cs="Times New Roman"/>
        </w:rPr>
      </w:pPr>
      <w:r>
        <w:rPr>
          <w:rFonts w:eastAsia="Arial" w:cs="Times New Roman"/>
        </w:rPr>
        <w:t>In contemporary psychological science, the intellectual territory covered by ‘hedonic’ is described using three new constructs. First is ‘affect’; a generic term for the constellation of different feelings that we can recognise, such as happiness and anger. Second</w:t>
      </w:r>
      <w:r w:rsidRPr="007A2F55">
        <w:rPr>
          <w:rFonts w:eastAsia="Arial" w:cs="Times New Roman"/>
        </w:rPr>
        <w:t xml:space="preserve"> </w:t>
      </w:r>
      <w:r>
        <w:rPr>
          <w:rFonts w:eastAsia="Arial" w:cs="Times New Roman"/>
        </w:rPr>
        <w:t xml:space="preserve">is the </w:t>
      </w:r>
      <w:r w:rsidRPr="00CD03A2">
        <w:rPr>
          <w:rFonts w:eastAsia="Arial" w:cs="Times New Roman"/>
        </w:rPr>
        <w:t xml:space="preserve">Affective </w:t>
      </w:r>
      <w:proofErr w:type="spellStart"/>
      <w:r w:rsidRPr="00CD03A2">
        <w:rPr>
          <w:rFonts w:eastAsia="Arial" w:cs="Times New Roman"/>
        </w:rPr>
        <w:t>Circumplex</w:t>
      </w:r>
      <w:proofErr w:type="spellEnd"/>
      <w:r w:rsidRPr="00CD03A2">
        <w:rPr>
          <w:rFonts w:eastAsia="Arial" w:cs="Times New Roman"/>
        </w:rPr>
        <w:t xml:space="preserve"> </w:t>
      </w:r>
      <w:r w:rsidRPr="00CD03A2">
        <w:rPr>
          <w:rFonts w:eastAsia="Arial" w:cs="Times New Roman"/>
        </w:rPr>
        <w:fldChar w:fldCharType="begin"/>
      </w:r>
      <w:r w:rsidRPr="00CD03A2">
        <w:rPr>
          <w:rFonts w:eastAsia="Arial" w:cs="Times New Roman"/>
        </w:rPr>
        <w:instrText xml:space="preserve"> ADDIN EN.CITE &lt;EndNote&gt;&lt;Cite&gt;&lt;Author&gt;Russell&lt;/Author&gt;&lt;Year&gt;1980&lt;/Year&gt;&lt;RecNum&gt;167&lt;/RecNum&gt;&lt;DisplayText&gt;(Russell, 1980)&lt;/DisplayText&gt;&lt;record&gt;&lt;rec-number&gt;167&lt;/rec-number&gt;&lt;foreign-keys&gt;&lt;key app="EN" db-id="z2xarpe9cfrvp4ezdxk5ddx9dsrzr05f22sa" timestamp="1343947677"&gt;167&lt;/key&gt;&lt;/foreign-keys&gt;&lt;ref-type name="Journal Article"&gt;17&lt;/ref-type&gt;&lt;contributors&gt;&lt;authors&gt;&lt;author&gt;Russell, J. A.&lt;/author&gt;&lt;/authors&gt;&lt;/contributors&gt;&lt;titles&gt;&lt;title&gt;A circumplex model of affect&lt;/title&gt;&lt;secondary-title&gt;Journal of Personality and Social Psychology&lt;/secondary-title&gt;&lt;/titles&gt;&lt;periodical&gt;&lt;full-title&gt;Journal of Personality and Social Psychology&lt;/full-title&gt;&lt;/periodical&gt;&lt;pages&gt;1161-1178&lt;/pages&gt;&lt;volume&gt;39&lt;/volume&gt;&lt;dates&gt;&lt;year&gt;1980&lt;/year&gt;&lt;/dates&gt;&lt;urls&gt;&lt;/urls&gt;&lt;/record&gt;&lt;/Cite&gt;&lt;/EndNote&gt;</w:instrText>
      </w:r>
      <w:r w:rsidRPr="00CD03A2">
        <w:rPr>
          <w:rFonts w:eastAsia="Arial" w:cs="Times New Roman"/>
        </w:rPr>
        <w:fldChar w:fldCharType="separate"/>
      </w:r>
      <w:r w:rsidRPr="00CD03A2">
        <w:rPr>
          <w:rFonts w:eastAsia="Arial" w:cs="Times New Roman"/>
          <w:noProof/>
        </w:rPr>
        <w:t>(Russell, 1980)</w:t>
      </w:r>
      <w:r w:rsidRPr="00CD03A2">
        <w:rPr>
          <w:rFonts w:eastAsia="Arial" w:cs="Times New Roman"/>
        </w:rPr>
        <w:fldChar w:fldCharType="end"/>
      </w:r>
      <w:r>
        <w:rPr>
          <w:rFonts w:eastAsia="Arial" w:cs="Times New Roman"/>
        </w:rPr>
        <w:t xml:space="preserve">; which describes how these affects can be systematically and meaningfully arranged, in a circle, by the </w:t>
      </w:r>
      <w:r w:rsidRPr="008B402F">
        <w:rPr>
          <w:rFonts w:eastAsia="Arial" w:cs="Times New Roman"/>
        </w:rPr>
        <w:t>CIRCUM program developed by</w:t>
      </w:r>
      <w:r>
        <w:rPr>
          <w:rFonts w:eastAsia="Arial" w:cs="Times New Roman"/>
        </w:rPr>
        <w:t xml:space="preserve"> </w:t>
      </w:r>
      <w:r>
        <w:rPr>
          <w:rFonts w:eastAsia="Arial" w:cs="Times New Roman"/>
        </w:rPr>
        <w:fldChar w:fldCharType="begin"/>
      </w:r>
      <w:r>
        <w:rPr>
          <w:rFonts w:eastAsia="Arial" w:cs="Times New Roman"/>
        </w:rPr>
        <w:instrText xml:space="preserve"> ADDIN EN.CITE &lt;EndNote&gt;&lt;Cite AuthorYear="1"&gt;&lt;Author&gt;Browne&lt;/Author&gt;&lt;Year&gt;1992&lt;/Year&gt;&lt;RecNum&gt;3918&lt;/RecNum&gt;&lt;DisplayText&gt;Browne (1992)&lt;/DisplayText&gt;&lt;record&gt;&lt;rec-number&gt;3918&lt;/rec-number&gt;&lt;foreign-keys&gt;&lt;key app="EN" db-id="z2xarpe9cfrvp4ezdxk5ddx9dsrzr05f22sa" timestamp="1567317301"&gt;3918&lt;/key&gt;&lt;/foreign-keys&gt;&lt;ref-type name="Journal Article"&gt;17&lt;/ref-type&gt;&lt;contributors&gt;&lt;authors&gt;&lt;author&gt;Browne, M. W.&lt;/author&gt;&lt;/authors&gt;&lt;/contributors&gt;&lt;titles&gt;&lt;title&gt;Circumplex models for correlational matrices&lt;/title&gt;&lt;secondary-title&gt;Psychometrika&lt;/secondary-title&gt;&lt;/titles&gt;&lt;periodical&gt;&lt;full-title&gt;Psychometrika&lt;/full-title&gt;&lt;/periodical&gt;&lt;pages&gt;469–497&lt;/pages&gt;&lt;volume&gt;57&lt;/volume&gt;&lt;number&gt;4&lt;/number&gt;&lt;dates&gt;&lt;year&gt;1992&lt;/year&gt;&lt;/dates&gt;&lt;urls&gt;&lt;/urls&gt;&lt;/record&gt;&lt;/Cite&gt;&lt;/EndNote&gt;</w:instrText>
      </w:r>
      <w:r>
        <w:rPr>
          <w:rFonts w:eastAsia="Arial" w:cs="Times New Roman"/>
        </w:rPr>
        <w:fldChar w:fldCharType="separate"/>
      </w:r>
      <w:r>
        <w:rPr>
          <w:rFonts w:eastAsia="Arial" w:cs="Times New Roman"/>
          <w:noProof/>
        </w:rPr>
        <w:t>Browne (1992)</w:t>
      </w:r>
      <w:r>
        <w:rPr>
          <w:rFonts w:eastAsia="Arial" w:cs="Times New Roman"/>
        </w:rPr>
        <w:fldChar w:fldCharType="end"/>
      </w:r>
      <w:r>
        <w:rPr>
          <w:rFonts w:eastAsia="Arial" w:cs="Times New Roman"/>
        </w:rPr>
        <w:t xml:space="preserve"> and </w:t>
      </w:r>
      <w:r>
        <w:rPr>
          <w:rFonts w:eastAsia="Arial" w:cs="Times New Roman"/>
        </w:rPr>
        <w:fldChar w:fldCharType="begin"/>
      </w:r>
      <w:r>
        <w:rPr>
          <w:rFonts w:eastAsia="Arial" w:cs="Times New Roman"/>
        </w:rPr>
        <w:instrText xml:space="preserve"> ADDIN EN.CITE &lt;EndNote&gt;&lt;Cite AuthorYear="1"&gt;&lt;Author&gt;Fabrigar&lt;/Author&gt;&lt;Year&gt;1997&lt;/Year&gt;&lt;RecNum&gt;3919&lt;/RecNum&gt;&lt;DisplayText&gt;Fabrigar, Visser, and Browne (1997)&lt;/DisplayText&gt;&lt;record&gt;&lt;rec-number&gt;3919&lt;/rec-number&gt;&lt;foreign-keys&gt;&lt;key app="EN" db-id="z2xarpe9cfrvp4ezdxk5ddx9dsrzr05f22sa" timestamp="1567317528"&gt;3919&lt;/key&gt;&lt;/foreign-keys&gt;&lt;ref-type name="Journal Article"&gt;17&lt;/ref-type&gt;&lt;contributors&gt;&lt;authors&gt;&lt;author&gt;Fabrigar, L. R.&lt;/author&gt;&lt;author&gt;Visser, P. S.&lt;/author&gt;&lt;author&gt;Browne, M. W.&lt;/author&gt;&lt;/authors&gt;&lt;/contributors&gt;&lt;titles&gt;&lt;title&gt;Conceptual and methodological issues in testing the circumplex structure of data in personality and social psychology&lt;/title&gt;&lt;secondary-title&gt;Personality and Social Psychology Review&lt;/secondary-title&gt;&lt;/titles&gt;&lt;periodical&gt;&lt;full-title&gt;Personality and Social Psychology Review&lt;/full-title&gt;&lt;/periodical&gt;&lt;pages&gt;184–203&lt;/pages&gt;&lt;volume&gt;1&lt;/volume&gt;&lt;dates&gt;&lt;year&gt;1997&lt;/year&gt;&lt;/dates&gt;&lt;urls&gt;&lt;/urls&gt;&lt;/record&gt;&lt;/Cite&gt;&lt;/EndNote&gt;</w:instrText>
      </w:r>
      <w:r>
        <w:rPr>
          <w:rFonts w:eastAsia="Arial" w:cs="Times New Roman"/>
        </w:rPr>
        <w:fldChar w:fldCharType="separate"/>
      </w:r>
      <w:r>
        <w:rPr>
          <w:rFonts w:eastAsia="Arial" w:cs="Times New Roman"/>
          <w:noProof/>
        </w:rPr>
        <w:t>Fabrigar, Visser, and Browne (1997)</w:t>
      </w:r>
      <w:r>
        <w:rPr>
          <w:rFonts w:eastAsia="Arial" w:cs="Times New Roman"/>
        </w:rPr>
        <w:fldChar w:fldCharType="end"/>
      </w:r>
      <w:r>
        <w:rPr>
          <w:rFonts w:eastAsia="Arial" w:cs="Times New Roman"/>
        </w:rPr>
        <w:t xml:space="preserve">. </w:t>
      </w:r>
      <w:r w:rsidRPr="008B402F">
        <w:rPr>
          <w:rFonts w:eastAsia="Arial" w:cs="Times New Roman"/>
        </w:rPr>
        <w:t>This program provides an estimate of the polar angle between 0</w:t>
      </w:r>
      <w:r w:rsidRPr="008B402F">
        <w:rPr>
          <w:rFonts w:eastAsia="Arial" w:cs="Times New Roman"/>
          <w:vertAlign w:val="superscript"/>
        </w:rPr>
        <w:t>0</w:t>
      </w:r>
      <w:r>
        <w:rPr>
          <w:rFonts w:eastAsia="Arial" w:cs="Times New Roman"/>
        </w:rPr>
        <w:t xml:space="preserve"> </w:t>
      </w:r>
      <w:r w:rsidRPr="008B402F">
        <w:rPr>
          <w:rFonts w:eastAsia="Arial" w:cs="Times New Roman"/>
        </w:rPr>
        <w:t>and</w:t>
      </w:r>
      <w:r>
        <w:rPr>
          <w:rFonts w:eastAsia="Arial" w:cs="Times New Roman"/>
        </w:rPr>
        <w:t xml:space="preserve"> </w:t>
      </w:r>
      <w:r w:rsidRPr="008B402F">
        <w:rPr>
          <w:rFonts w:eastAsia="Arial" w:cs="Times New Roman"/>
        </w:rPr>
        <w:t>360</w:t>
      </w:r>
      <w:r w:rsidRPr="0096530A">
        <w:rPr>
          <w:rFonts w:eastAsia="Arial" w:cs="Times New Roman"/>
          <w:vertAlign w:val="superscript"/>
        </w:rPr>
        <w:t>0</w:t>
      </w:r>
      <w:r w:rsidRPr="008B402F">
        <w:rPr>
          <w:rFonts w:eastAsia="Arial" w:cs="Times New Roman"/>
        </w:rPr>
        <w:t xml:space="preserve"> for each affect item</w:t>
      </w:r>
      <w:r>
        <w:rPr>
          <w:rFonts w:eastAsia="Arial" w:cs="Times New Roman"/>
        </w:rPr>
        <w:t>, thereby</w:t>
      </w:r>
      <w:r w:rsidRPr="008B402F">
        <w:rPr>
          <w:rFonts w:eastAsia="Arial" w:cs="Times New Roman"/>
        </w:rPr>
        <w:t xml:space="preserve"> enabling</w:t>
      </w:r>
      <w:r>
        <w:rPr>
          <w:rFonts w:eastAsia="Arial" w:cs="Times New Roman"/>
        </w:rPr>
        <w:t xml:space="preserve"> them to be plotted on the perimeter of a circle. Within this</w:t>
      </w:r>
      <w:r w:rsidRPr="00CD03A2">
        <w:rPr>
          <w:rFonts w:eastAsia="Arial" w:cs="Times New Roman"/>
        </w:rPr>
        <w:t xml:space="preserve"> </w:t>
      </w:r>
      <w:proofErr w:type="spellStart"/>
      <w:r>
        <w:rPr>
          <w:rFonts w:eastAsia="Arial" w:cs="Times New Roman"/>
        </w:rPr>
        <w:t>circumplex</w:t>
      </w:r>
      <w:proofErr w:type="spellEnd"/>
      <w:r>
        <w:rPr>
          <w:rFonts w:eastAsia="Arial" w:cs="Times New Roman"/>
        </w:rPr>
        <w:t>-</w:t>
      </w:r>
      <w:r w:rsidRPr="00CD03A2">
        <w:rPr>
          <w:rFonts w:eastAsia="Arial" w:cs="Times New Roman"/>
        </w:rPr>
        <w:t xml:space="preserve">structure </w:t>
      </w:r>
      <w:r>
        <w:rPr>
          <w:rFonts w:eastAsia="Arial" w:cs="Times New Roman"/>
        </w:rPr>
        <w:t xml:space="preserve">there </w:t>
      </w:r>
      <w:r w:rsidRPr="00CD03A2">
        <w:rPr>
          <w:rFonts w:eastAsia="Arial" w:cs="Times New Roman"/>
        </w:rPr>
        <w:t>are two orthogonal and bi-polar dimensions; unpl</w:t>
      </w:r>
      <w:r>
        <w:rPr>
          <w:rFonts w:eastAsia="Arial" w:cs="Times New Roman"/>
        </w:rPr>
        <w:t>easantness-pleasantness and low-</w:t>
      </w:r>
      <w:r w:rsidRPr="00CD03A2">
        <w:rPr>
          <w:rFonts w:eastAsia="Arial" w:cs="Times New Roman"/>
        </w:rPr>
        <w:t>high arousal. On the horizontal axis</w:t>
      </w:r>
      <w:r>
        <w:rPr>
          <w:rFonts w:eastAsia="Arial" w:cs="Times New Roman"/>
        </w:rPr>
        <w:t>,</w:t>
      </w:r>
      <w:r w:rsidRPr="00CD03A2">
        <w:rPr>
          <w:rFonts w:eastAsia="Arial" w:cs="Times New Roman"/>
        </w:rPr>
        <w:t xml:space="preserve"> </w:t>
      </w:r>
      <w:r>
        <w:rPr>
          <w:rFonts w:eastAsia="Arial" w:cs="Times New Roman"/>
        </w:rPr>
        <w:t xml:space="preserve">the </w:t>
      </w:r>
      <w:r w:rsidRPr="00CD03A2">
        <w:rPr>
          <w:rFonts w:eastAsia="Arial" w:cs="Times New Roman"/>
        </w:rPr>
        <w:t xml:space="preserve">unpleasant affects (e.g. unhappy) are located on the opposite side from </w:t>
      </w:r>
      <w:r>
        <w:rPr>
          <w:rFonts w:eastAsia="Arial" w:cs="Times New Roman"/>
        </w:rPr>
        <w:t xml:space="preserve">the </w:t>
      </w:r>
      <w:r w:rsidRPr="00CD03A2">
        <w:rPr>
          <w:rFonts w:eastAsia="Arial" w:cs="Times New Roman"/>
        </w:rPr>
        <w:t>pleasant affect</w:t>
      </w:r>
      <w:r>
        <w:rPr>
          <w:rFonts w:eastAsia="Arial" w:cs="Times New Roman"/>
        </w:rPr>
        <w:t>s</w:t>
      </w:r>
      <w:r w:rsidRPr="00CD03A2">
        <w:rPr>
          <w:rFonts w:eastAsia="Arial" w:cs="Times New Roman"/>
        </w:rPr>
        <w:t xml:space="preserve"> (e.g. happy). On the vertical axis, low-arousal feelings (e.g. calm) </w:t>
      </w:r>
      <w:r>
        <w:rPr>
          <w:rFonts w:eastAsia="Arial" w:cs="Times New Roman"/>
        </w:rPr>
        <w:t>are</w:t>
      </w:r>
      <w:r w:rsidRPr="00CD03A2">
        <w:rPr>
          <w:rFonts w:eastAsia="Arial" w:cs="Times New Roman"/>
        </w:rPr>
        <w:t xml:space="preserve"> found on the opposite side </w:t>
      </w:r>
      <w:r>
        <w:rPr>
          <w:rFonts w:eastAsia="Arial" w:cs="Times New Roman"/>
        </w:rPr>
        <w:t xml:space="preserve">from </w:t>
      </w:r>
      <w:r w:rsidRPr="00CD03A2">
        <w:rPr>
          <w:rFonts w:eastAsia="Arial" w:cs="Times New Roman"/>
        </w:rPr>
        <w:t xml:space="preserve">high-arousal feelings (e.g. active). </w:t>
      </w:r>
      <w:r>
        <w:rPr>
          <w:rFonts w:eastAsia="Arial" w:cs="Times New Roman"/>
        </w:rPr>
        <w:t>All of the other affective terms lie between these anchors, with their position defined by their polar angle. One result</w:t>
      </w:r>
      <w:r w:rsidR="00AA38D7">
        <w:rPr>
          <w:rFonts w:eastAsia="Arial" w:cs="Times New Roman"/>
        </w:rPr>
        <w:t xml:space="preserve"> of this arrangement</w:t>
      </w:r>
      <w:r>
        <w:rPr>
          <w:rFonts w:eastAsia="Arial" w:cs="Times New Roman"/>
        </w:rPr>
        <w:t xml:space="preserve"> is that, a</w:t>
      </w:r>
      <w:r w:rsidRPr="00CD03A2">
        <w:rPr>
          <w:rFonts w:eastAsia="Arial" w:cs="Times New Roman"/>
        </w:rPr>
        <w:t xml:space="preserve">round the </w:t>
      </w:r>
      <w:proofErr w:type="spellStart"/>
      <w:r w:rsidRPr="00CD03A2">
        <w:rPr>
          <w:rFonts w:eastAsia="Arial" w:cs="Times New Roman"/>
        </w:rPr>
        <w:t>circumplex</w:t>
      </w:r>
      <w:proofErr w:type="spellEnd"/>
      <w:r w:rsidRPr="00CD03A2">
        <w:rPr>
          <w:rFonts w:eastAsia="Arial" w:cs="Times New Roman"/>
        </w:rPr>
        <w:t xml:space="preserve"> perimeter, similar (i.e. highly positively correlated) affects lie close to each other.</w:t>
      </w:r>
      <w:r>
        <w:rPr>
          <w:rFonts w:eastAsia="Arial" w:cs="Times New Roman"/>
        </w:rPr>
        <w:t xml:space="preserve"> Understanding derived from the </w:t>
      </w:r>
      <w:proofErr w:type="spellStart"/>
      <w:r>
        <w:rPr>
          <w:rFonts w:eastAsia="Arial" w:cs="Times New Roman"/>
        </w:rPr>
        <w:t>circumplex</w:t>
      </w:r>
      <w:proofErr w:type="spellEnd"/>
      <w:r>
        <w:rPr>
          <w:rFonts w:eastAsia="Arial" w:cs="Times New Roman"/>
        </w:rPr>
        <w:t xml:space="preserve"> has been key to all contemporary theories involving affects, such as Subjective Wellbeing Homeostasis </w:t>
      </w:r>
      <w:r>
        <w:rPr>
          <w:rFonts w:eastAsia="Arial" w:cs="Times New Roman"/>
        </w:rPr>
        <w:fldChar w:fldCharType="begin"/>
      </w:r>
      <w:r w:rsidR="002A5B73">
        <w:rPr>
          <w:rFonts w:eastAsia="Arial" w:cs="Times New Roman"/>
        </w:rPr>
        <w:instrText xml:space="preserve"> ADDIN EN.CITE &lt;EndNote&gt;&lt;Cite&gt;&lt;Author&gt;Davern&lt;/Author&gt;&lt;Year&gt;2007&lt;/Year&gt;&lt;RecNum&gt;312&lt;/RecNum&gt;&lt;DisplayText&gt;(Davern et al., 2007)&lt;/DisplayText&gt;&lt;record&gt;&lt;rec-number&gt;312&lt;/rec-number&gt;&lt;foreign-keys&gt;&lt;key app="EN" db-id="z2xarpe9cfrvp4ezdxk5ddx9dsrzr05f22sa" timestamp="1343947741"&gt;312&lt;/key&gt;&lt;/foreign-keys&gt;&lt;ref-type name="Journal Article"&gt;17&lt;/ref-type&gt;&lt;contributors&gt;&lt;authors&gt;&lt;author&gt;Davern, M.&lt;/author&gt;&lt;author&gt;Cummins, R. A.&lt;/author&gt;&lt;author&gt;Stokes, M.&lt;/author&gt;&lt;/authors&gt;&lt;/contributors&gt;&lt;titles&gt;&lt;title&gt;Subjective wellbeing as an affective/cognitive construct&lt;/title&gt;&lt;secondary-title&gt;Journal of Happiness Studies&lt;/secondary-title&gt;&lt;/titles&gt;&lt;periodical&gt;&lt;full-title&gt;Journal of Happiness Studies&lt;/full-title&gt;&lt;/periodical&gt;&lt;pages&gt;429-449&lt;/pages&gt;&lt;volume&gt;8&lt;/volume&gt;&lt;number&gt;4&lt;/number&gt;&lt;dates&gt;&lt;year&gt;2007&lt;/year&gt;&lt;/dates&gt;&lt;urls&gt;&lt;/urls&gt;&lt;electronic-resource-num&gt;10.1007/s10902-007-9066-1&lt;/electronic-resource-num&gt;&lt;/record&gt;&lt;/Cite&gt;&lt;/EndNote&gt;</w:instrText>
      </w:r>
      <w:r>
        <w:rPr>
          <w:rFonts w:eastAsia="Arial" w:cs="Times New Roman"/>
        </w:rPr>
        <w:fldChar w:fldCharType="separate"/>
      </w:r>
      <w:r w:rsidR="002A5B73">
        <w:rPr>
          <w:rFonts w:eastAsia="Arial" w:cs="Times New Roman"/>
          <w:noProof/>
        </w:rPr>
        <w:t>(Davern et al., 2007)</w:t>
      </w:r>
      <w:r>
        <w:rPr>
          <w:rFonts w:eastAsia="Arial" w:cs="Times New Roman"/>
        </w:rPr>
        <w:fldChar w:fldCharType="end"/>
      </w:r>
      <w:r>
        <w:rPr>
          <w:rFonts w:eastAsia="Arial" w:cs="Times New Roman"/>
        </w:rPr>
        <w:t>.</w:t>
      </w:r>
    </w:p>
    <w:p w:rsidR="00E318B0" w:rsidRDefault="00E318B0" w:rsidP="00E318B0">
      <w:pPr>
        <w:rPr>
          <w:rFonts w:eastAsia="Arial" w:cs="Times New Roman"/>
        </w:rPr>
      </w:pPr>
    </w:p>
    <w:p w:rsidR="00E318B0" w:rsidRDefault="00E318B0" w:rsidP="00E318B0">
      <w:pPr>
        <w:rPr>
          <w:rFonts w:eastAsia="Arial" w:cs="Times New Roman"/>
        </w:rPr>
      </w:pPr>
      <w:r>
        <w:rPr>
          <w:rFonts w:eastAsia="Arial" w:cs="Times New Roman"/>
        </w:rPr>
        <w:t>The third form of affect classification, characterises them as either an Emotion or a Mood. The dichotomy is based on purpose, temporal duration, and strength. Emotions are generated as responses to what we perceive (e.g. a friendly face) or what we imagine (e.g. monsters under our bed). Their purpose is to direct attention to something our brain considers relevant. Emotions</w:t>
      </w:r>
      <w:r w:rsidRPr="004D323A">
        <w:rPr>
          <w:rFonts w:eastAsia="Arial" w:cs="Times New Roman"/>
        </w:rPr>
        <w:t xml:space="preserve"> </w:t>
      </w:r>
      <w:r>
        <w:rPr>
          <w:rFonts w:eastAsia="Arial" w:cs="Times New Roman"/>
        </w:rPr>
        <w:t>are generally</w:t>
      </w:r>
      <w:r w:rsidRPr="004D323A">
        <w:rPr>
          <w:rFonts w:eastAsia="Arial" w:cs="Times New Roman"/>
        </w:rPr>
        <w:t xml:space="preserve"> </w:t>
      </w:r>
      <w:r>
        <w:rPr>
          <w:rFonts w:eastAsia="Arial" w:cs="Times New Roman"/>
        </w:rPr>
        <w:t xml:space="preserve">of brief duration, thereby allowing attention to be directed to new </w:t>
      </w:r>
      <w:proofErr w:type="spellStart"/>
      <w:r>
        <w:rPr>
          <w:rFonts w:eastAsia="Arial" w:cs="Times New Roman"/>
        </w:rPr>
        <w:t>percepts</w:t>
      </w:r>
      <w:proofErr w:type="spellEnd"/>
      <w:r w:rsidR="00AA38D7">
        <w:rPr>
          <w:rFonts w:eastAsia="Arial" w:cs="Times New Roman"/>
        </w:rPr>
        <w:t xml:space="preserve"> as </w:t>
      </w:r>
      <w:proofErr w:type="gramStart"/>
      <w:r w:rsidR="00AA38D7">
        <w:rPr>
          <w:rFonts w:eastAsia="Arial" w:cs="Times New Roman"/>
        </w:rPr>
        <w:t>required</w:t>
      </w:r>
      <w:r>
        <w:rPr>
          <w:rFonts w:eastAsia="Arial" w:cs="Times New Roman"/>
        </w:rPr>
        <w:t>, and</w:t>
      </w:r>
      <w:proofErr w:type="gramEnd"/>
      <w:r w:rsidRPr="004D323A">
        <w:rPr>
          <w:rFonts w:eastAsia="Arial" w:cs="Times New Roman"/>
        </w:rPr>
        <w:t xml:space="preserve"> </w:t>
      </w:r>
      <w:r>
        <w:rPr>
          <w:rFonts w:eastAsia="Arial" w:cs="Times New Roman"/>
        </w:rPr>
        <w:t>can be an intense form of affect. Moods are quite different. They are not generated in response to any percept or thought. Rather, they have a constant presence, being produced under genetic direction. They also comprise low-level affect. While some reviewers have concluded that the cause</w:t>
      </w:r>
      <w:r w:rsidRPr="004D323A">
        <w:rPr>
          <w:rFonts w:eastAsia="Arial" w:cs="Times New Roman"/>
        </w:rPr>
        <w:t xml:space="preserve"> </w:t>
      </w:r>
      <w:r>
        <w:rPr>
          <w:rFonts w:eastAsia="Arial" w:cs="Times New Roman"/>
        </w:rPr>
        <w:t>of moods</w:t>
      </w:r>
      <w:r w:rsidRPr="004D323A">
        <w:rPr>
          <w:rFonts w:eastAsia="Arial" w:cs="Times New Roman"/>
        </w:rPr>
        <w:t xml:space="preserve"> is often difficult to determine </w:t>
      </w:r>
      <w:r w:rsidRPr="004D323A">
        <w:rPr>
          <w:rFonts w:eastAsia="Arial" w:cs="Times New Roman"/>
        </w:rPr>
        <w:fldChar w:fldCharType="begin"/>
      </w:r>
      <w:r w:rsidRPr="004D323A">
        <w:rPr>
          <w:rFonts w:eastAsia="Arial" w:cs="Times New Roman"/>
        </w:rPr>
        <w:instrText xml:space="preserve"> ADDIN EN.CITE &lt;EndNote&gt;&lt;Cite&gt;&lt;Author&gt;Ekkekakis&lt;/Author&gt;&lt;Year&gt;2013&lt;/Year&gt;&lt;RecNum&gt;2272&lt;/RecNum&gt;&lt;DisplayText&gt;(Ekkekakis, 2013)&lt;/DisplayText&gt;&lt;record&gt;&lt;rec-number&gt;2272&lt;/rec-number&gt;&lt;foreign-keys&gt;&lt;key app="EN" db-id="z2xarpe9cfrvp4ezdxk5ddx9dsrzr05f22sa" timestamp="1448090699"&gt;2272&lt;/key&gt;&lt;/foreign-keys&gt;&lt;ref-type name="Book"&gt;6&lt;/ref-type&gt;&lt;contributors&gt;&lt;authors&gt;&lt;author&gt;Ekkekakis, P.&lt;/author&gt;&lt;/authors&gt;&lt;/contributors&gt;&lt;titles&gt;&lt;title&gt;The measurement of affect, mood, and emotion: A guide for health-behavioral research&lt;/title&gt;&lt;/titles&gt;&lt;dates&gt;&lt;year&gt;2013&lt;/year&gt;&lt;/dates&gt;&lt;pub-location&gt;Cambridge&lt;/pub-location&gt;&lt;publisher&gt;Cambridge University Press&lt;/publisher&gt;&lt;urls&gt;&lt;/urls&gt;&lt;/record&gt;&lt;/Cite&gt;&lt;/EndNote&gt;</w:instrText>
      </w:r>
      <w:r w:rsidRPr="004D323A">
        <w:rPr>
          <w:rFonts w:eastAsia="Arial" w:cs="Times New Roman"/>
        </w:rPr>
        <w:fldChar w:fldCharType="separate"/>
      </w:r>
      <w:r w:rsidRPr="004D323A">
        <w:rPr>
          <w:rFonts w:eastAsia="Arial" w:cs="Times New Roman"/>
          <w:noProof/>
        </w:rPr>
        <w:t>(Ekkekakis, 2013)</w:t>
      </w:r>
      <w:r w:rsidRPr="004D323A">
        <w:rPr>
          <w:rFonts w:eastAsia="Arial" w:cs="Times New Roman"/>
        </w:rPr>
        <w:fldChar w:fldCharType="end"/>
      </w:r>
      <w:r>
        <w:rPr>
          <w:rFonts w:eastAsia="Arial" w:cs="Times New Roman"/>
        </w:rPr>
        <w:t xml:space="preserve">, a genetic cause has been proposed for Homeostatically Protected Mood </w:t>
      </w:r>
      <w:r>
        <w:rPr>
          <w:rFonts w:eastAsia="Arial" w:cs="Times New Roman"/>
        </w:rPr>
        <w:fldChar w:fldCharType="begin"/>
      </w:r>
      <w:r w:rsidR="00EC435A">
        <w:rPr>
          <w:rFonts w:eastAsia="Arial" w:cs="Times New Roman"/>
        </w:rPr>
        <w:instrText xml:space="preserve"> ADDIN EN.CITE &lt;EndNote&gt;&lt;Cite&gt;&lt;Author&gt;Cummins&lt;/Author&gt;&lt;Year&gt;2018&lt;/Year&gt;&lt;RecNum&gt;2895&lt;/RecNum&gt;&lt;DisplayText&gt;(Capic et al., 2018; Cummins et al., 2018)&lt;/DisplayText&gt;&lt;record&gt;&lt;rec-number&gt;2895&lt;/rec-number&gt;&lt;foreign-keys&gt;&lt;key app="EN" db-id="z2xarpe9cfrvp4ezdxk5ddx9dsrzr05f22sa" timestamp="1486353818"&gt;2895&lt;/key&gt;&lt;/foreign-keys&gt;&lt;ref-type name="Journal Article"&gt;17&lt;/ref-type&gt;&lt;contributors&gt;&lt;authors&gt;&lt;author&gt;Cummins, R. A.&lt;/author&gt;&lt;author&gt;Capic, T.&lt;/author&gt;&lt;author&gt;Hutchinson, D.&lt;/author&gt;&lt;author&gt;Fuller-Tyszkiewicz, M.&lt;/author&gt;&lt;author&gt;Olsson, C. A.&lt;/author&gt;&lt;author&gt;Richardson, B.&lt;/author&gt;&lt;/authors&gt;&lt;/contributors&gt;&lt;titles&gt;&lt;title&gt;Why self-report variables inter-correlate: The role of Homeostatically Protected Mood&lt;/title&gt;&lt;secondary-title&gt;Journal of Wellbeing Assessment&lt;/secondary-title&gt;&lt;/titles&gt;&lt;periodical&gt;&lt;full-title&gt;Journal of Wellbeing Assessment&lt;/full-title&gt;&lt;/periodical&gt;&lt;pages&gt;93-114&lt;/pages&gt;&lt;volume&gt;2&lt;/volume&gt;&lt;dates&gt;&lt;year&gt;2018&lt;/year&gt;&lt;/dates&gt;&lt;urls&gt;&lt;/urls&gt;&lt;electronic-resource-num&gt;10.1007/s41543-018-0014-0&lt;/electronic-resource-num&gt;&lt;/record&gt;&lt;/Cite&gt;&lt;Cite&gt;&lt;Author&gt;Capic&lt;/Author&gt;&lt;Year&gt;2018&lt;/Year&gt;&lt;RecNum&gt;3195&lt;/RecNum&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Pr>
          <w:rFonts w:eastAsia="Arial" w:cs="Times New Roman"/>
        </w:rPr>
        <w:fldChar w:fldCharType="separate"/>
      </w:r>
      <w:r w:rsidR="00EC435A">
        <w:rPr>
          <w:rFonts w:eastAsia="Arial" w:cs="Times New Roman"/>
          <w:noProof/>
        </w:rPr>
        <w:t>(Capic et al., 2018; Cummins et al., 2018)</w:t>
      </w:r>
      <w:r>
        <w:rPr>
          <w:rFonts w:eastAsia="Arial" w:cs="Times New Roman"/>
        </w:rPr>
        <w:fldChar w:fldCharType="end"/>
      </w:r>
      <w:r>
        <w:rPr>
          <w:rFonts w:eastAsia="Arial" w:cs="Times New Roman"/>
        </w:rPr>
        <w:t xml:space="preserve">. These authors propose that HPMood comprises a constant and unchanging source of mildly positive and activated affect, which has the purpose of providing a positive sense of self-awareness. The actual affective experience in consciousness at any moment is a combination of emotion and HPMood </w:t>
      </w:r>
      <w:r>
        <w:rPr>
          <w:rFonts w:eastAsia="Arial" w:cs="Times New Roman"/>
        </w:rPr>
        <w:fldChar w:fldCharType="begin"/>
      </w:r>
      <w:r>
        <w:rPr>
          <w:rFonts w:eastAsia="Arial" w:cs="Times New Roman"/>
        </w:rPr>
        <w:instrText xml:space="preserve"> ADDIN EN.CITE &lt;EndNote&gt;&lt;Cite&gt;&lt;Author&gt;Capic&lt;/Author&gt;&lt;Year&gt;2018&lt;/Year&gt;&lt;RecNum&gt;3195&lt;/RecNum&gt;&lt;Prefix&gt;see`, &lt;/Prefix&gt;&lt;DisplayText&gt;(see, 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Pr>
          <w:rFonts w:eastAsia="Arial" w:cs="Times New Roman"/>
        </w:rPr>
        <w:fldChar w:fldCharType="separate"/>
      </w:r>
      <w:r>
        <w:rPr>
          <w:rFonts w:eastAsia="Arial" w:cs="Times New Roman"/>
          <w:noProof/>
        </w:rPr>
        <w:t>(see, Capic et al., 2018)</w:t>
      </w:r>
      <w:r>
        <w:rPr>
          <w:rFonts w:eastAsia="Arial" w:cs="Times New Roman"/>
        </w:rPr>
        <w:fldChar w:fldCharType="end"/>
      </w:r>
      <w:r>
        <w:rPr>
          <w:rFonts w:eastAsia="Arial" w:cs="Times New Roman"/>
        </w:rPr>
        <w:t>.</w:t>
      </w:r>
    </w:p>
    <w:p w:rsidR="00E318B0" w:rsidRDefault="00E318B0" w:rsidP="00E318B0">
      <w:pPr>
        <w:rPr>
          <w:rFonts w:eastAsia="Arial" w:cs="Times New Roman"/>
        </w:rPr>
      </w:pPr>
    </w:p>
    <w:p w:rsidR="00E318B0" w:rsidRDefault="00E318B0" w:rsidP="00E318B0">
      <w:pPr>
        <w:rPr>
          <w:rFonts w:eastAsia="Arial" w:cs="Times New Roman"/>
        </w:rPr>
      </w:pPr>
      <w:r>
        <w:rPr>
          <w:rFonts w:eastAsia="Arial" w:cs="Times New Roman"/>
        </w:rPr>
        <w:t>The second archaic term, ‘</w:t>
      </w:r>
      <w:proofErr w:type="spellStart"/>
      <w:r>
        <w:rPr>
          <w:rFonts w:eastAsia="Arial" w:cs="Times New Roman"/>
        </w:rPr>
        <w:t>Eudaimonic</w:t>
      </w:r>
      <w:proofErr w:type="spellEnd"/>
      <w:r>
        <w:rPr>
          <w:rFonts w:eastAsia="Arial" w:cs="Times New Roman"/>
        </w:rPr>
        <w:t xml:space="preserve"> wellbeing’ has been the target for massive philosophical debate. </w:t>
      </w:r>
      <w:r w:rsidRPr="00D06D2B">
        <w:rPr>
          <w:rFonts w:eastAsia="Arial" w:cs="Times New Roman"/>
        </w:rPr>
        <w:t xml:space="preserve">In </w:t>
      </w:r>
      <w:proofErr w:type="spellStart"/>
      <w:r w:rsidRPr="00D06D2B">
        <w:rPr>
          <w:rFonts w:eastAsia="Arial" w:cs="Times New Roman"/>
        </w:rPr>
        <w:t>eudaimonic</w:t>
      </w:r>
      <w:proofErr w:type="spellEnd"/>
      <w:r w:rsidRPr="00D06D2B">
        <w:rPr>
          <w:rFonts w:eastAsia="Arial" w:cs="Times New Roman"/>
        </w:rPr>
        <w:t xml:space="preserve"> philosophies, the principal focus is on </w:t>
      </w:r>
      <w:r>
        <w:rPr>
          <w:rFonts w:eastAsia="Arial" w:cs="Times New Roman"/>
        </w:rPr>
        <w:t xml:space="preserve">cognitive </w:t>
      </w:r>
      <w:r w:rsidRPr="00D06D2B">
        <w:rPr>
          <w:rFonts w:eastAsia="Arial" w:cs="Times New Roman"/>
        </w:rPr>
        <w:t xml:space="preserve">activity reflecting virtue, excellence, the best within us, and the full development of our potentials. </w:t>
      </w:r>
      <w:r>
        <w:rPr>
          <w:rFonts w:eastAsia="Arial" w:cs="Times New Roman"/>
        </w:rPr>
        <w:t>Notably, from a scientific perspective, no scales yet developed provide a reliable and valid measure of these concepts. In particular, no extant measure</w:t>
      </w:r>
      <w:r w:rsidR="00AA38D7">
        <w:rPr>
          <w:rFonts w:eastAsia="Arial" w:cs="Times New Roman"/>
        </w:rPr>
        <w:t xml:space="preserve"> of ‘</w:t>
      </w:r>
      <w:proofErr w:type="spellStart"/>
      <w:r w:rsidR="00AA38D7">
        <w:rPr>
          <w:rFonts w:eastAsia="Arial" w:cs="Times New Roman"/>
        </w:rPr>
        <w:t>eudaimonic</w:t>
      </w:r>
      <w:proofErr w:type="spellEnd"/>
      <w:r w:rsidR="00AA38D7">
        <w:rPr>
          <w:rFonts w:eastAsia="Arial" w:cs="Times New Roman"/>
        </w:rPr>
        <w:t xml:space="preserve"> wellbeing’ </w:t>
      </w:r>
      <w:r>
        <w:rPr>
          <w:rFonts w:eastAsia="Arial" w:cs="Times New Roman"/>
        </w:rPr>
        <w:t xml:space="preserve">has demonstrated discriminant validity from personality and other valid measures of psychological organization such as self-esteem, optimism, perceived control, and subjective wellbeing. </w:t>
      </w:r>
    </w:p>
    <w:p w:rsidR="00E318B0" w:rsidRDefault="00E318B0" w:rsidP="00E318B0">
      <w:pPr>
        <w:rPr>
          <w:rFonts w:eastAsia="Arial" w:cs="Times New Roman"/>
        </w:rPr>
      </w:pPr>
    </w:p>
    <w:p w:rsidR="00E318B0" w:rsidRDefault="00E318B0" w:rsidP="00E318B0">
      <w:pPr>
        <w:rPr>
          <w:rFonts w:eastAsia="Arial" w:cs="Times New Roman"/>
        </w:rPr>
      </w:pPr>
      <w:r>
        <w:rPr>
          <w:rFonts w:eastAsia="Arial" w:cs="Times New Roman"/>
        </w:rPr>
        <w:t>Adding to the confusion</w:t>
      </w:r>
      <w:r w:rsidR="00AA38D7">
        <w:rPr>
          <w:rFonts w:eastAsia="Arial" w:cs="Times New Roman"/>
        </w:rPr>
        <w:t xml:space="preserve"> </w:t>
      </w:r>
      <w:r>
        <w:rPr>
          <w:rFonts w:eastAsia="Arial" w:cs="Times New Roman"/>
        </w:rPr>
        <w:t>is an influential</w:t>
      </w:r>
      <w:r w:rsidRPr="00D06D2B">
        <w:rPr>
          <w:rFonts w:eastAsia="Arial" w:cs="Times New Roman"/>
        </w:rPr>
        <w:t xml:space="preserve"> review by </w:t>
      </w:r>
      <w:r w:rsidRPr="00D06D2B">
        <w:rPr>
          <w:rFonts w:eastAsia="Arial" w:cs="Times New Roman"/>
        </w:rPr>
        <w:fldChar w:fldCharType="begin"/>
      </w:r>
      <w:r w:rsidRPr="00D06D2B">
        <w:rPr>
          <w:rFonts w:eastAsia="Arial" w:cs="Times New Roman"/>
        </w:rPr>
        <w:instrText xml:space="preserve"> ADDIN EN.CITE &lt;EndNote&gt;&lt;Cite AuthorYear="1"&gt;&lt;Author&gt;Ryan&lt;/Author&gt;&lt;Year&gt;2001&lt;/Year&gt;&lt;RecNum&gt;896&lt;/RecNum&gt;&lt;DisplayText&gt;Ryan and Deci (2001)&lt;/DisplayText&gt;&lt;record&gt;&lt;rec-number&gt;896&lt;/rec-number&gt;&lt;foreign-keys&gt;&lt;key app="EN" db-id="z2xarpe9cfrvp4ezdxk5ddx9dsrzr05f22sa" timestamp="1363743921"&gt;896&lt;/key&gt;&lt;/foreign-keys&gt;&lt;ref-type name="Journal Article"&gt;17&lt;/ref-type&gt;&lt;contributors&gt;&lt;authors&gt;&lt;author&gt;Ryan, R. M.&lt;/author&gt;&lt;author&gt;Deci, E. L.&lt;/author&gt;&lt;/authors&gt;&lt;/contributors&gt;&lt;titles&gt;&lt;title&gt;On Happiness and human potentials: A review of research on hedonic and eudaimonic well-being&lt;/title&gt;&lt;secondary-title&gt;Annual Review of Psychology&lt;/secondary-title&gt;&lt;/titles&gt;&lt;periodical&gt;&lt;full-title&gt;Annual Review of Psychology&lt;/full-title&gt;&lt;/periodical&gt;&lt;pages&gt;141-166&lt;/pages&gt;&lt;volume&gt;52&lt;/volume&gt;&lt;dates&gt;&lt;year&gt;2001&lt;/year&gt;&lt;/dates&gt;&lt;urls&gt;&lt;/urls&gt;&lt;/record&gt;&lt;/Cite&gt;&lt;/EndNote&gt;</w:instrText>
      </w:r>
      <w:r w:rsidRPr="00D06D2B">
        <w:rPr>
          <w:rFonts w:eastAsia="Arial" w:cs="Times New Roman"/>
        </w:rPr>
        <w:fldChar w:fldCharType="separate"/>
      </w:r>
      <w:r w:rsidRPr="00D06D2B">
        <w:rPr>
          <w:rFonts w:eastAsia="Arial" w:cs="Times New Roman"/>
          <w:noProof/>
        </w:rPr>
        <w:t>Ryan and Deci (2001)</w:t>
      </w:r>
      <w:r w:rsidRPr="00D06D2B">
        <w:rPr>
          <w:rFonts w:eastAsia="Arial" w:cs="Times New Roman"/>
        </w:rPr>
        <w:fldChar w:fldCharType="end"/>
      </w:r>
      <w:r>
        <w:rPr>
          <w:rFonts w:eastAsia="Arial" w:cs="Times New Roman"/>
        </w:rPr>
        <w:t>. This</w:t>
      </w:r>
      <w:r w:rsidRPr="00D06D2B">
        <w:rPr>
          <w:rFonts w:eastAsia="Arial" w:cs="Times New Roman"/>
        </w:rPr>
        <w:t xml:space="preserve"> </w:t>
      </w:r>
      <w:r>
        <w:rPr>
          <w:rFonts w:eastAsia="Arial" w:cs="Times New Roman"/>
        </w:rPr>
        <w:t xml:space="preserve">proposes the separation of </w:t>
      </w:r>
      <w:proofErr w:type="spellStart"/>
      <w:r>
        <w:rPr>
          <w:rFonts w:eastAsia="Arial" w:cs="Times New Roman"/>
        </w:rPr>
        <w:t>eudaimonia</w:t>
      </w:r>
      <w:proofErr w:type="spellEnd"/>
      <w:r>
        <w:rPr>
          <w:rFonts w:eastAsia="Arial" w:cs="Times New Roman"/>
        </w:rPr>
        <w:t xml:space="preserve"> from </w:t>
      </w:r>
      <w:proofErr w:type="spellStart"/>
      <w:r>
        <w:rPr>
          <w:rFonts w:eastAsia="Arial" w:cs="Times New Roman"/>
        </w:rPr>
        <w:t>hedonia</w:t>
      </w:r>
      <w:proofErr w:type="spellEnd"/>
      <w:r>
        <w:rPr>
          <w:rFonts w:eastAsia="Arial" w:cs="Times New Roman"/>
        </w:rPr>
        <w:t>;</w:t>
      </w:r>
      <w:r w:rsidRPr="00D06D2B">
        <w:rPr>
          <w:rFonts w:eastAsia="Arial" w:cs="Times New Roman"/>
        </w:rPr>
        <w:t xml:space="preserve"> </w:t>
      </w:r>
      <w:r>
        <w:rPr>
          <w:rFonts w:eastAsia="Arial" w:cs="Times New Roman"/>
        </w:rPr>
        <w:t xml:space="preserve">an empirically false proposition. For example, the </w:t>
      </w:r>
      <w:r>
        <w:rPr>
          <w:rFonts w:eastAsia="Arial" w:cs="Times New Roman"/>
        </w:rPr>
        <w:lastRenderedPageBreak/>
        <w:t>value measure of ‘excellence’ and positive affect are obviously interwoven.  More broadly, other attempts to operationalise ‘eudaimonia’</w:t>
      </w:r>
      <w:r w:rsidRPr="007F0520">
        <w:rPr>
          <w:rFonts w:eastAsia="Arial" w:cs="Times New Roman"/>
        </w:rPr>
        <w:t xml:space="preserve"> </w:t>
      </w:r>
      <w:r>
        <w:rPr>
          <w:rFonts w:eastAsia="Arial" w:cs="Times New Roman"/>
        </w:rPr>
        <w:t>have simply led</w:t>
      </w:r>
      <w:r w:rsidRPr="007F0520">
        <w:rPr>
          <w:rFonts w:eastAsia="Arial" w:cs="Times New Roman"/>
        </w:rPr>
        <w:t xml:space="preserve"> scholars into a deep conceptual jungle from which no paths of simple organization are evident </w:t>
      </w:r>
      <w:r w:rsidRPr="007F0520">
        <w:rPr>
          <w:rFonts w:eastAsia="Arial" w:cs="Times New Roman"/>
        </w:rPr>
        <w:fldChar w:fldCharType="begin"/>
      </w:r>
      <w:r>
        <w:rPr>
          <w:rFonts w:eastAsia="Arial" w:cs="Times New Roman"/>
        </w:rPr>
        <w:instrText xml:space="preserve"> ADDIN EN.CITE &lt;EndNote&gt;&lt;Cite&gt;&lt;Author&gt;Huta&lt;/Author&gt;&lt;Year&gt;2014&lt;/Year&gt;&lt;RecNum&gt;1751&lt;/RecNum&gt;&lt;Prefix&gt;see`, e. g.`, &lt;/Prefix&gt;&lt;DisplayText&gt;(see, e. g., Huta &amp;amp; Waterman, 2014)&lt;/DisplayText&gt;&lt;record&gt;&lt;rec-number&gt;1751&lt;/rec-number&gt;&lt;foreign-keys&gt;&lt;key app="EN" db-id="z2xarpe9cfrvp4ezdxk5ddx9dsrzr05f22sa" timestamp="1428029800"&gt;1751&lt;/key&gt;&lt;/foreign-keys&gt;&lt;ref-type name="Journal Article"&gt;17&lt;/ref-type&gt;&lt;contributors&gt;&lt;authors&gt;&lt;author&gt;Huta, V.&lt;/author&gt;&lt;author&gt;Waterman, Alan S&lt;/author&gt;&lt;/authors&gt;&lt;/contributors&gt;&lt;titles&gt;&lt;title&gt;Eudaimonia and its distinction from hedonia: developing a classification and terminology for understanding conceptual and operational definitions&lt;/title&gt;&lt;secondary-title&gt;Journal of Happiness Studies&lt;/secondary-title&gt;&lt;/titles&gt;&lt;periodical&gt;&lt;full-title&gt;Journal of Happiness Studies&lt;/full-title&gt;&lt;/periodical&gt;&lt;pages&gt;1425-1456&lt;/pages&gt;&lt;volume&gt;15&lt;/volume&gt;&lt;number&gt;6&lt;/number&gt;&lt;dates&gt;&lt;year&gt;2014&lt;/year&gt;&lt;/dates&gt;&lt;isbn&gt;1389-4978&lt;/isbn&gt;&lt;urls&gt;&lt;/urls&gt;&lt;electronic-resource-num&gt;10.1007/s10902-013-9485-0&lt;/electronic-resource-num&gt;&lt;/record&gt;&lt;/Cite&gt;&lt;/EndNote&gt;</w:instrText>
      </w:r>
      <w:r w:rsidRPr="007F0520">
        <w:rPr>
          <w:rFonts w:eastAsia="Arial" w:cs="Times New Roman"/>
        </w:rPr>
        <w:fldChar w:fldCharType="separate"/>
      </w:r>
      <w:r>
        <w:rPr>
          <w:rFonts w:eastAsia="Arial" w:cs="Times New Roman"/>
          <w:noProof/>
        </w:rPr>
        <w:t>(see, e. g., Huta &amp; Waterman, 2014)</w:t>
      </w:r>
      <w:r w:rsidRPr="007F0520">
        <w:rPr>
          <w:rFonts w:eastAsia="Arial" w:cs="Times New Roman"/>
        </w:rPr>
        <w:fldChar w:fldCharType="end"/>
      </w:r>
      <w:r w:rsidRPr="007F0520">
        <w:rPr>
          <w:rFonts w:eastAsia="Arial" w:cs="Times New Roman"/>
        </w:rPr>
        <w:t>.</w:t>
      </w:r>
      <w:r>
        <w:rPr>
          <w:rFonts w:eastAsia="Arial" w:cs="Times New Roman"/>
        </w:rPr>
        <w:t xml:space="preserve"> Consistent with this forlorn view, the best-known attempt to create a scale that integrates areas, proposed to be subsumed within a conception of eudaimonia, has failed. As has been documented by many authors, the </w:t>
      </w:r>
      <w:r w:rsidRPr="00055878">
        <w:rPr>
          <w:rFonts w:eastAsia="Arial" w:cs="Times New Roman"/>
        </w:rPr>
        <w:t>Psychological</w:t>
      </w:r>
      <w:r>
        <w:rPr>
          <w:rFonts w:eastAsia="Arial" w:cs="Times New Roman"/>
        </w:rPr>
        <w:t xml:space="preserve"> </w:t>
      </w:r>
      <w:r w:rsidRPr="00055878">
        <w:rPr>
          <w:rFonts w:eastAsia="Arial" w:cs="Times New Roman"/>
        </w:rPr>
        <w:t>Well-B</w:t>
      </w:r>
      <w:r>
        <w:rPr>
          <w:rFonts w:eastAsia="Arial" w:cs="Times New Roman"/>
        </w:rPr>
        <w:t>eing Questionnaire (</w:t>
      </w:r>
      <w:proofErr w:type="spellStart"/>
      <w:r>
        <w:rPr>
          <w:rFonts w:eastAsia="Arial" w:cs="Times New Roman"/>
        </w:rPr>
        <w:t>Ryff</w:t>
      </w:r>
      <w:proofErr w:type="spellEnd"/>
      <w:r>
        <w:rPr>
          <w:rFonts w:eastAsia="Arial" w:cs="Times New Roman"/>
        </w:rPr>
        <w:t xml:space="preserve">, 1989) does not factor as intended </w:t>
      </w:r>
      <w:r>
        <w:rPr>
          <w:rFonts w:eastAsia="Arial" w:cs="Times New Roman"/>
        </w:rPr>
        <w:fldChar w:fldCharType="begin"/>
      </w:r>
      <w:r>
        <w:rPr>
          <w:rFonts w:eastAsia="Arial" w:cs="Times New Roman"/>
        </w:rPr>
        <w:instrText xml:space="preserve"> ADDIN EN.CITE &lt;EndNote&gt;&lt;Cite&gt;&lt;Author&gt;Espinoza&lt;/Author&gt;&lt;Year&gt;2018&lt;/Year&gt;&lt;RecNum&gt;3897&lt;/RecNum&gt;&lt;Prefix&gt;e.g.`, &lt;/Prefix&gt;&lt;DisplayText&gt;(e.g., Espinoza, Meyer, Anderson, Vaters, &amp;amp; Politis, 2018)&lt;/DisplayText&gt;&lt;record&gt;&lt;rec-number&gt;3897&lt;/rec-number&gt;&lt;foreign-keys&gt;&lt;key app="EN" db-id="z2xarpe9cfrvp4ezdxk5ddx9dsrzr05f22sa" timestamp="1565241989"&gt;3897&lt;/key&gt;&lt;/foreign-keys&gt;&lt;ref-type name="Journal Article"&gt;17&lt;/ref-type&gt;&lt;contributors&gt;&lt;authors&gt;&lt;author&gt;Espinoza, J. A.&lt;/author&gt;&lt;author&gt;Meyer, John P&lt;/author&gt;&lt;author&gt;Anderson, Brittney K&lt;/author&gt;&lt;author&gt;Vaters, Chelsea&lt;/author&gt;&lt;author&gt;Politis, Christina&lt;/author&gt;&lt;/authors&gt;&lt;/contributors&gt;&lt;titles&gt;&lt;title&gt;Evidence for a bifactor structure of the Scales of Psychological Well-being using exploratory structural equation modeling&lt;/title&gt;&lt;secondary-title&gt;Journal of Well-Being Assessment&lt;/secondary-title&gt;&lt;/titles&gt;&lt;periodical&gt;&lt;full-title&gt;Journal of Well-Being Assessment&lt;/full-title&gt;&lt;/periodical&gt;&lt;pages&gt;21-40&lt;/pages&gt;&lt;volume&gt;2&lt;/volume&gt;&lt;number&gt;1&lt;/number&gt;&lt;dates&gt;&lt;year&gt;2018&lt;/year&gt;&lt;/dates&gt;&lt;isbn&gt;2509-4629&lt;/isbn&gt;&lt;urls&gt;&lt;/urls&gt;&lt;/record&gt;&lt;/Cite&gt;&lt;/EndNote&gt;</w:instrText>
      </w:r>
      <w:r>
        <w:rPr>
          <w:rFonts w:eastAsia="Arial" w:cs="Times New Roman"/>
        </w:rPr>
        <w:fldChar w:fldCharType="separate"/>
      </w:r>
      <w:r>
        <w:rPr>
          <w:rFonts w:eastAsia="Arial" w:cs="Times New Roman"/>
          <w:noProof/>
        </w:rPr>
        <w:t>(e.g., Espinoza, Meyer, Anderson, Vaters, &amp; Politis, 2018)</w:t>
      </w:r>
      <w:r>
        <w:rPr>
          <w:rFonts w:eastAsia="Arial" w:cs="Times New Roman"/>
        </w:rPr>
        <w:fldChar w:fldCharType="end"/>
      </w:r>
      <w:r w:rsidR="00AA38D7">
        <w:rPr>
          <w:rFonts w:eastAsia="Arial" w:cs="Times New Roman"/>
        </w:rPr>
        <w:t>, and</w:t>
      </w:r>
      <w:r>
        <w:rPr>
          <w:rFonts w:eastAsia="Arial" w:cs="Times New Roman"/>
        </w:rPr>
        <w:t xml:space="preserve"> so does not meet the basis requirements of validity and reliability. </w:t>
      </w:r>
    </w:p>
    <w:p w:rsidR="00E318B0" w:rsidRDefault="00E318B0" w:rsidP="00E318B0">
      <w:pPr>
        <w:rPr>
          <w:rFonts w:eastAsia="Arial" w:cs="Times New Roman"/>
        </w:rPr>
      </w:pPr>
    </w:p>
    <w:p w:rsidR="00E318B0" w:rsidRDefault="00E318B0" w:rsidP="00E318B0">
      <w:pPr>
        <w:rPr>
          <w:rFonts w:eastAsia="Arial" w:cs="Times New Roman"/>
        </w:rPr>
      </w:pPr>
      <w:r w:rsidRPr="007F0520">
        <w:rPr>
          <w:rFonts w:eastAsia="Arial" w:cs="Times New Roman"/>
        </w:rPr>
        <w:t>The solution to this problem</w:t>
      </w:r>
      <w:r>
        <w:rPr>
          <w:rFonts w:eastAsia="Arial" w:cs="Times New Roman"/>
        </w:rPr>
        <w:t xml:space="preserve"> of ancient nomenclature</w:t>
      </w:r>
      <w:r w:rsidRPr="007F0520">
        <w:rPr>
          <w:rFonts w:eastAsia="Arial" w:cs="Times New Roman"/>
        </w:rPr>
        <w:t xml:space="preserve"> is simple. Authors</w:t>
      </w:r>
      <w:r>
        <w:rPr>
          <w:rFonts w:eastAsia="Arial" w:cs="Times New Roman"/>
        </w:rPr>
        <w:t xml:space="preserve"> of papers in psychological science</w:t>
      </w:r>
      <w:r w:rsidRPr="007F0520">
        <w:rPr>
          <w:rFonts w:eastAsia="Arial" w:cs="Times New Roman"/>
        </w:rPr>
        <w:t xml:space="preserve"> should </w:t>
      </w:r>
      <w:r>
        <w:rPr>
          <w:rFonts w:eastAsia="Arial" w:cs="Times New Roman"/>
        </w:rPr>
        <w:t xml:space="preserve">refer only to variables defined by a </w:t>
      </w:r>
      <w:r w:rsidRPr="007F0520">
        <w:rPr>
          <w:rFonts w:eastAsia="Arial" w:cs="Times New Roman"/>
        </w:rPr>
        <w:t xml:space="preserve">scale of measurement, </w:t>
      </w:r>
      <w:r>
        <w:rPr>
          <w:rFonts w:eastAsia="Arial" w:cs="Times New Roman"/>
        </w:rPr>
        <w:t>and cite supporting psychometric data, most especially evidence of discriminant validity.</w:t>
      </w:r>
    </w:p>
    <w:p w:rsidR="00E318B0" w:rsidRDefault="00E318B0" w:rsidP="00E318B0">
      <w:pPr>
        <w:rPr>
          <w:rFonts w:eastAsia="Arial" w:cs="Times New Roman"/>
          <w:b/>
        </w:rPr>
      </w:pPr>
    </w:p>
    <w:p w:rsidR="00E318B0" w:rsidRDefault="00E318B0" w:rsidP="00E318B0">
      <w:pPr>
        <w:rPr>
          <w:rFonts w:eastAsia="Arial" w:cs="Times New Roman"/>
        </w:rPr>
      </w:pPr>
      <w:r w:rsidRPr="00BB5D46">
        <w:rPr>
          <w:rFonts w:eastAsia="Arial" w:cs="Times New Roman"/>
          <w:b/>
        </w:rPr>
        <w:t xml:space="preserve">Reference: </w:t>
      </w:r>
      <w:r w:rsidRPr="002B7E9D">
        <w:rPr>
          <w:rFonts w:eastAsia="Arial" w:cs="Times New Roman"/>
        </w:rPr>
        <w:t xml:space="preserve">Evans, J. (2017). </w:t>
      </w:r>
      <w:r w:rsidRPr="002B7E9D">
        <w:rPr>
          <w:rFonts w:eastAsia="Arial" w:cs="Times New Roman"/>
          <w:i/>
          <w:iCs/>
        </w:rPr>
        <w:t xml:space="preserve">The end of History and the Invention of Happiness, </w:t>
      </w:r>
      <w:proofErr w:type="spellStart"/>
      <w:r w:rsidRPr="002B7E9D">
        <w:rPr>
          <w:rFonts w:eastAsia="Arial" w:cs="Times New Roman"/>
          <w:i/>
          <w:iCs/>
        </w:rPr>
        <w:t>CWiPP</w:t>
      </w:r>
      <w:proofErr w:type="spellEnd"/>
      <w:r w:rsidRPr="002B7E9D">
        <w:rPr>
          <w:rFonts w:eastAsia="Arial" w:cs="Times New Roman"/>
          <w:i/>
          <w:iCs/>
        </w:rPr>
        <w:t xml:space="preserve"> Working Paper No.11 </w:t>
      </w:r>
      <w:r w:rsidRPr="002B7E9D">
        <w:rPr>
          <w:rFonts w:eastAsia="Arial" w:cs="Times New Roman"/>
        </w:rPr>
        <w:t>Sheffield: Centre for Wellbeing in Public Policy, University of Sheffield.</w:t>
      </w:r>
    </w:p>
    <w:p w:rsidR="00E318B0" w:rsidRPr="007B5802" w:rsidRDefault="00E318B0" w:rsidP="00E318B0"/>
    <w:p w:rsidR="00E318B0" w:rsidRPr="0091284A" w:rsidRDefault="00E318B0" w:rsidP="00E318B0">
      <w:pPr>
        <w:rPr>
          <w:rFonts w:eastAsia="Arial" w:cs="Times New Roman"/>
          <w:lang w:bidi="en-GB"/>
        </w:rPr>
      </w:pPr>
      <w:r>
        <w:rPr>
          <w:rFonts w:eastAsia="Arial" w:cs="Times New Roman"/>
          <w:b/>
        </w:rPr>
        <w:t>Author</w:t>
      </w:r>
      <w:r w:rsidRPr="00BB5D46">
        <w:rPr>
          <w:rFonts w:eastAsia="Arial" w:cs="Times New Roman"/>
          <w:b/>
        </w:rPr>
        <w:t xml:space="preserve"> summary:</w:t>
      </w:r>
      <w:r w:rsidRPr="00BB5D46">
        <w:rPr>
          <w:rFonts w:eastAsia="Arial" w:cs="Times New Roman"/>
        </w:rPr>
        <w:t xml:space="preserve"> </w:t>
      </w:r>
      <w:r w:rsidRPr="0091284A">
        <w:rPr>
          <w:rFonts w:eastAsia="Arial" w:cs="Times New Roman"/>
          <w:lang w:bidi="en-GB"/>
        </w:rPr>
        <w:t>This paper explores how the contemporary politics of wellbeing moves beyond classical liberal ideas of the state as protector of 'negative liberty' and back to Ancient Greek ideas of the state as the promoter of flourishing or eudaimonia. It looks at the influence of Aristotle and the Stoics on UK mental health and education policy, particularly Cognitive Behavioural Therapy and wellbeing classes. It ends by discussing whether government schemes for wellbeing promotion are illiberal, concludes that they potentially are, and suggests a way to make interventions more pluralistic and democratic.</w:t>
      </w:r>
    </w:p>
    <w:p w:rsidR="00E318B0" w:rsidRPr="00BB5D46" w:rsidRDefault="00E318B0" w:rsidP="00E318B0">
      <w:pPr>
        <w:rPr>
          <w:rFonts w:eastAsia="Arial" w:cs="Times New Roman"/>
        </w:rPr>
      </w:pPr>
    </w:p>
    <w:p w:rsidR="00E318B0" w:rsidRDefault="00E318B0" w:rsidP="00E318B0">
      <w:pPr>
        <w:rPr>
          <w:rFonts w:eastAsia="Times New Roman" w:cs="Times New Roman"/>
          <w:b/>
          <w:lang w:val="en-US"/>
        </w:rPr>
      </w:pPr>
      <w:r w:rsidRPr="00BB5D46">
        <w:rPr>
          <w:rFonts w:eastAsia="Arial" w:cs="Times New Roman"/>
          <w:b/>
        </w:rPr>
        <w:t xml:space="preserve">Comment on </w:t>
      </w:r>
      <w:r>
        <w:rPr>
          <w:rFonts w:eastAsia="Times New Roman" w:cs="Times New Roman"/>
          <w:b/>
          <w:lang w:val="en-US"/>
        </w:rPr>
        <w:t>Evans (2017</w:t>
      </w:r>
      <w:r w:rsidRPr="00BB5D46">
        <w:rPr>
          <w:rFonts w:eastAsia="Times New Roman" w:cs="Times New Roman"/>
          <w:b/>
          <w:lang w:val="en-US"/>
        </w:rPr>
        <w:t>)</w:t>
      </w:r>
    </w:p>
    <w:p w:rsidR="00E318B0" w:rsidRDefault="00E318B0" w:rsidP="00E318B0">
      <w:pPr>
        <w:rPr>
          <w:rFonts w:eastAsia="Times New Roman" w:cs="Times New Roman"/>
          <w:lang w:val="en-US" w:bidi="en-GB"/>
        </w:rPr>
      </w:pPr>
      <w:r w:rsidRPr="0091284A">
        <w:rPr>
          <w:rFonts w:eastAsia="Times New Roman" w:cs="Times New Roman"/>
          <w:lang w:val="en-US"/>
        </w:rPr>
        <w:t>There is much to applaud</w:t>
      </w:r>
      <w:r>
        <w:rPr>
          <w:rFonts w:eastAsia="Times New Roman" w:cs="Times New Roman"/>
          <w:lang w:val="en-US"/>
        </w:rPr>
        <w:t xml:space="preserve"> in Evan’s paper. He provides a lucid and critical account of e</w:t>
      </w:r>
      <w:r w:rsidRPr="0091284A">
        <w:rPr>
          <w:rFonts w:eastAsia="Times New Roman" w:cs="Times New Roman"/>
          <w:lang w:val="en-US"/>
        </w:rPr>
        <w:t>arly Greek</w:t>
      </w:r>
      <w:r>
        <w:rPr>
          <w:rFonts w:eastAsia="Times New Roman" w:cs="Times New Roman"/>
          <w:lang w:val="en-US"/>
        </w:rPr>
        <w:t xml:space="preserve"> philosophy on ‘happiness’ (Subjective Wellbeing: SWB), and is suitably searching in his account of modern-day efforts to improve national wellbeing in the UK. While Evans is justified in disparaging the scientific efforts of positive psychology and similar programs, missing from his account is an understanding of contemporary psychological science as presented in the ‘Background’ section above. This omission leads him into two false conclusions. One is that science is irrelevant in the public-policy context, and second that some form of universally-available </w:t>
      </w:r>
      <w:r w:rsidRPr="001336EE">
        <w:rPr>
          <w:rFonts w:eastAsia="Times New Roman" w:cs="Times New Roman"/>
          <w:lang w:val="en-US" w:bidi="en-GB"/>
        </w:rPr>
        <w:t xml:space="preserve">Cognitive </w:t>
      </w:r>
      <w:proofErr w:type="spellStart"/>
      <w:r w:rsidRPr="001336EE">
        <w:rPr>
          <w:rFonts w:eastAsia="Times New Roman" w:cs="Times New Roman"/>
          <w:lang w:val="en-US" w:bidi="en-GB"/>
        </w:rPr>
        <w:t>Behavioural</w:t>
      </w:r>
      <w:proofErr w:type="spellEnd"/>
      <w:r w:rsidRPr="001336EE">
        <w:rPr>
          <w:rFonts w:eastAsia="Times New Roman" w:cs="Times New Roman"/>
          <w:lang w:val="en-US" w:bidi="en-GB"/>
        </w:rPr>
        <w:t xml:space="preserve"> Therapy</w:t>
      </w:r>
      <w:r>
        <w:rPr>
          <w:rFonts w:eastAsia="Times New Roman" w:cs="Times New Roman"/>
          <w:lang w:val="en-US" w:bidi="en-GB"/>
        </w:rPr>
        <w:t xml:space="preserve"> provides an answer to increasing the level of population happiness. My more detailed comments follow:</w:t>
      </w:r>
    </w:p>
    <w:p w:rsidR="00E318B0" w:rsidRDefault="00E318B0" w:rsidP="00E318B0">
      <w:pPr>
        <w:rPr>
          <w:rFonts w:eastAsia="Times New Roman" w:cs="Times New Roman"/>
          <w:lang w:val="en-US" w:bidi="en-GB"/>
        </w:rPr>
      </w:pPr>
    </w:p>
    <w:p w:rsidR="00E318B0" w:rsidRDefault="00E318B0" w:rsidP="00E318B0">
      <w:pPr>
        <w:rPr>
          <w:rFonts w:eastAsia="Times New Roman" w:cs="Times New Roman"/>
          <w:lang w:val="en-GB" w:eastAsia="en-GB" w:bidi="en-GB"/>
        </w:rPr>
      </w:pPr>
      <w:r>
        <w:rPr>
          <w:rFonts w:eastAsia="Times New Roman" w:cs="Times New Roman"/>
          <w:lang w:val="en-US" w:bidi="en-GB"/>
        </w:rPr>
        <w:t xml:space="preserve">1. </w:t>
      </w:r>
      <w:r w:rsidR="00AA38D7">
        <w:rPr>
          <w:rFonts w:eastAsia="Times New Roman" w:cs="Times New Roman"/>
          <w:lang w:val="en-US" w:bidi="en-GB"/>
        </w:rPr>
        <w:t>Evans</w:t>
      </w:r>
      <w:r>
        <w:rPr>
          <w:rFonts w:eastAsia="Times New Roman" w:cs="Times New Roman"/>
          <w:lang w:val="en-US" w:bidi="en-GB"/>
        </w:rPr>
        <w:t xml:space="preserve"> expresses concern </w:t>
      </w:r>
      <w:r w:rsidRPr="000153A4">
        <w:rPr>
          <w:rFonts w:eastAsia="Times New Roman" w:cs="Times New Roman"/>
          <w:lang w:val="en-US" w:bidi="en-GB"/>
        </w:rPr>
        <w:t>that “</w:t>
      </w:r>
      <w:r w:rsidRPr="000153A4">
        <w:rPr>
          <w:rFonts w:eastAsia="Times New Roman" w:cs="Times New Roman"/>
          <w:lang w:val="en-GB" w:eastAsia="en-GB" w:bidi="en-GB"/>
        </w:rPr>
        <w:t>Although western citizens have become materially better off since the 1960s, our levels of happiness have apparently not gone up.”</w:t>
      </w:r>
      <w:r>
        <w:rPr>
          <w:rFonts w:eastAsia="Times New Roman" w:cs="Times New Roman"/>
          <w:lang w:val="en-GB" w:eastAsia="en-GB" w:bidi="en-GB"/>
        </w:rPr>
        <w:t xml:space="preserve"> Moreover, it seems, this is a core concern, acted on by Government advisors, who regard it as a failure of current policies, thereby opening their doors to the un</w:t>
      </w:r>
      <w:r w:rsidR="00AA38D7">
        <w:rPr>
          <w:rFonts w:eastAsia="Times New Roman" w:cs="Times New Roman"/>
          <w:lang w:val="en-GB" w:eastAsia="en-GB" w:bidi="en-GB"/>
        </w:rPr>
        <w:t>-</w:t>
      </w:r>
      <w:r>
        <w:rPr>
          <w:rFonts w:eastAsia="Times New Roman" w:cs="Times New Roman"/>
          <w:lang w:val="en-GB" w:eastAsia="en-GB" w:bidi="en-GB"/>
        </w:rPr>
        <w:t>validated forms of intervention.</w:t>
      </w:r>
    </w:p>
    <w:p w:rsidR="00E318B0" w:rsidRDefault="00E318B0" w:rsidP="00E318B0">
      <w:pPr>
        <w:rPr>
          <w:rFonts w:eastAsia="Times New Roman" w:cs="Times New Roman"/>
          <w:lang w:val="en-GB" w:eastAsia="en-GB" w:bidi="en-GB"/>
        </w:rPr>
      </w:pPr>
    </w:p>
    <w:p w:rsidR="00E318B0" w:rsidRDefault="00E318B0" w:rsidP="00E318B0">
      <w:pPr>
        <w:rPr>
          <w:rFonts w:eastAsia="Times New Roman" w:cs="Times New Roman"/>
          <w:lang w:val="en-GB" w:eastAsia="en-GB" w:bidi="en-GB"/>
        </w:rPr>
      </w:pPr>
      <w:r w:rsidRPr="001A6AD7">
        <w:rPr>
          <w:rFonts w:eastAsia="Times New Roman" w:cs="Times New Roman"/>
          <w:b/>
          <w:u w:val="single"/>
          <w:lang w:val="en-GB" w:eastAsia="en-GB" w:bidi="en-GB"/>
        </w:rPr>
        <w:t>My response:</w:t>
      </w:r>
      <w:r>
        <w:rPr>
          <w:rFonts w:eastAsia="Times New Roman" w:cs="Times New Roman"/>
          <w:lang w:val="en-GB" w:eastAsia="en-GB" w:bidi="en-GB"/>
        </w:rPr>
        <w:t xml:space="preserve"> Homeostasis theory explains this temporal stability in SWB level as due to a fairly constant proportion of the population who have the resources necessary to maintain control of their Subjective Wellbeing (SWB). Attempting to increase SWB is futile</w:t>
      </w:r>
      <w:r w:rsidR="00FA6585">
        <w:rPr>
          <w:rFonts w:eastAsia="Times New Roman" w:cs="Times New Roman"/>
          <w:lang w:val="en-GB" w:eastAsia="en-GB" w:bidi="en-GB"/>
        </w:rPr>
        <w:t xml:space="preserve"> for</w:t>
      </w:r>
      <w:r>
        <w:rPr>
          <w:rFonts w:eastAsia="Times New Roman" w:cs="Times New Roman"/>
          <w:lang w:val="en-GB" w:eastAsia="en-GB" w:bidi="en-GB"/>
        </w:rPr>
        <w:t xml:space="preserve"> </w:t>
      </w:r>
      <w:r w:rsidR="00FA6585">
        <w:rPr>
          <w:rFonts w:eastAsia="Times New Roman" w:cs="Times New Roman"/>
          <w:lang w:val="en-GB" w:eastAsia="en-GB" w:bidi="en-GB"/>
        </w:rPr>
        <w:t>such people</w:t>
      </w:r>
      <w:r>
        <w:rPr>
          <w:rFonts w:eastAsia="Times New Roman" w:cs="Times New Roman"/>
          <w:lang w:val="en-GB" w:eastAsia="en-GB" w:bidi="en-GB"/>
        </w:rPr>
        <w:t>, who are already in homeostatic control. Any effort</w:t>
      </w:r>
      <w:r w:rsidR="00FA6585">
        <w:rPr>
          <w:rFonts w:eastAsia="Times New Roman" w:cs="Times New Roman"/>
          <w:lang w:val="en-GB" w:eastAsia="en-GB" w:bidi="en-GB"/>
        </w:rPr>
        <w:t xml:space="preserve"> to increase their SWB</w:t>
      </w:r>
      <w:r>
        <w:rPr>
          <w:rFonts w:eastAsia="Times New Roman" w:cs="Times New Roman"/>
          <w:lang w:val="en-GB" w:eastAsia="en-GB" w:bidi="en-GB"/>
        </w:rPr>
        <w:t xml:space="preserve"> will be counteracted by the homeostatic processes operating to keep SWB levels within </w:t>
      </w:r>
      <w:r w:rsidR="00FA6585">
        <w:rPr>
          <w:rFonts w:eastAsia="Times New Roman" w:cs="Times New Roman"/>
          <w:lang w:val="en-GB" w:eastAsia="en-GB" w:bidi="en-GB"/>
        </w:rPr>
        <w:t xml:space="preserve">individual </w:t>
      </w:r>
      <w:proofErr w:type="spellStart"/>
      <w:r>
        <w:rPr>
          <w:rFonts w:eastAsia="Times New Roman" w:cs="Times New Roman"/>
          <w:lang w:val="en-GB" w:eastAsia="en-GB" w:bidi="en-GB"/>
        </w:rPr>
        <w:t>setpoint</w:t>
      </w:r>
      <w:proofErr w:type="spellEnd"/>
      <w:r>
        <w:rPr>
          <w:rFonts w:eastAsia="Times New Roman" w:cs="Times New Roman"/>
          <w:lang w:val="en-GB" w:eastAsia="en-GB" w:bidi="en-GB"/>
        </w:rPr>
        <w:t xml:space="preserve"> range</w:t>
      </w:r>
      <w:r w:rsidR="00FA6585">
        <w:rPr>
          <w:rFonts w:eastAsia="Times New Roman" w:cs="Times New Roman"/>
          <w:lang w:val="en-GB" w:eastAsia="en-GB" w:bidi="en-GB"/>
        </w:rPr>
        <w:t>s</w:t>
      </w:r>
      <w:r>
        <w:rPr>
          <w:rFonts w:eastAsia="Times New Roman" w:cs="Times New Roman"/>
          <w:lang w:val="en-GB" w:eastAsia="en-GB" w:bidi="en-GB"/>
        </w:rPr>
        <w:t>. The implication</w:t>
      </w:r>
      <w:r w:rsidR="00FA6585">
        <w:rPr>
          <w:rFonts w:eastAsia="Times New Roman" w:cs="Times New Roman"/>
          <w:lang w:val="en-GB" w:eastAsia="en-GB" w:bidi="en-GB"/>
        </w:rPr>
        <w:t xml:space="preserve"> of this</w:t>
      </w:r>
      <w:r>
        <w:rPr>
          <w:rFonts w:eastAsia="Times New Roman" w:cs="Times New Roman"/>
          <w:lang w:val="en-GB" w:eastAsia="en-GB" w:bidi="en-GB"/>
        </w:rPr>
        <w:t xml:space="preserve"> for public policy</w:t>
      </w:r>
      <w:r w:rsidR="00FA6585">
        <w:rPr>
          <w:rFonts w:eastAsia="Times New Roman" w:cs="Times New Roman"/>
          <w:lang w:val="en-GB" w:eastAsia="en-GB" w:bidi="en-GB"/>
        </w:rPr>
        <w:t>,</w:t>
      </w:r>
      <w:r>
        <w:rPr>
          <w:rFonts w:eastAsia="Times New Roman" w:cs="Times New Roman"/>
          <w:lang w:val="en-GB" w:eastAsia="en-GB" w:bidi="en-GB"/>
        </w:rPr>
        <w:t xml:space="preserve"> is that the provision of additional resources has been misdirected. If additional resources were </w:t>
      </w:r>
      <w:r w:rsidR="00FA6585">
        <w:rPr>
          <w:rFonts w:eastAsia="Times New Roman" w:cs="Times New Roman"/>
          <w:lang w:val="en-GB" w:eastAsia="en-GB" w:bidi="en-GB"/>
        </w:rPr>
        <w:t xml:space="preserve">instead </w:t>
      </w:r>
      <w:r>
        <w:rPr>
          <w:rFonts w:eastAsia="Times New Roman" w:cs="Times New Roman"/>
          <w:lang w:val="en-GB" w:eastAsia="en-GB" w:bidi="en-GB"/>
        </w:rPr>
        <w:t xml:space="preserve">directed to people experiencing homeostatic defeat, population levels of SWB would reliably rise as many of these people regained homeostatic control. The key resources to achieve this are, </w:t>
      </w:r>
      <w:r>
        <w:rPr>
          <w:rFonts w:eastAsia="Times New Roman" w:cs="Times New Roman"/>
          <w:lang w:val="en-GB" w:eastAsia="en-GB" w:bidi="en-GB"/>
        </w:rPr>
        <w:lastRenderedPageBreak/>
        <w:t xml:space="preserve">unfortunately, also the hardest for governments to provide: sufficient money, an activity providing a sense of purpose, and an emotionally intimate relationship </w:t>
      </w:r>
      <w:r>
        <w:rPr>
          <w:rFonts w:eastAsia="Times New Roman" w:cs="Times New Roman"/>
          <w:lang w:val="en-GB" w:eastAsia="en-GB" w:bidi="en-GB"/>
        </w:rPr>
        <w:fldChar w:fldCharType="begin"/>
      </w:r>
      <w:r>
        <w:rPr>
          <w:rFonts w:eastAsia="Times New Roman" w:cs="Times New Roman"/>
          <w:lang w:val="en-GB" w:eastAsia="en-GB" w:bidi="en-GB"/>
        </w:rPr>
        <w:instrText xml:space="preserve"> ADDIN EN.CITE &lt;EndNote&gt;&lt;Cite&gt;&lt;Author&gt;Cummins&lt;/Author&gt;&lt;Year&gt;2018c&lt;/Year&gt;&lt;RecNum&gt;3143&lt;/RecNum&gt;&lt;DisplayText&gt;(Cummins, 2018c)&lt;/DisplayText&gt;&lt;record&gt;&lt;rec-number&gt;3143&lt;/rec-number&gt;&lt;foreign-keys&gt;&lt;key app="EN" db-id="z2xarpe9cfrvp4ezdxk5ddx9dsrzr05f22sa" timestamp="1498726772"&gt;3143&lt;/key&gt;&lt;/foreign-keys&gt;&lt;ref-type name="Journal Article"&gt;17&lt;/ref-type&gt;&lt;contributors&gt;&lt;authors&gt;&lt;author&gt;Cummins, R. A.&lt;/author&gt;&lt;/authors&gt;&lt;/contributors&gt;&lt;titles&gt;&lt;title&gt;The Golden Triangle of Happiness: Essential resources for a happy family&lt;/title&gt;&lt;secondary-title&gt;International Journal of Child, Youth &amp;amp; Family Studies&lt;/secondary-title&gt;&lt;/titles&gt;&lt;periodical&gt;&lt;full-title&gt;International Journal of Child, Youth &amp;amp; Family Studies&lt;/full-title&gt;&lt;/periodical&gt;&lt;pages&gt;12–39&lt;/pages&gt;&lt;volume&gt;9&lt;/volume&gt;&lt;number&gt;4&lt;/number&gt;&lt;dates&gt;&lt;year&gt;2018c&lt;/year&gt;&lt;/dates&gt;&lt;urls&gt;&lt;/urls&gt;&lt;/record&gt;&lt;/Cite&gt;&lt;/EndNote&gt;</w:instrText>
      </w:r>
      <w:r>
        <w:rPr>
          <w:rFonts w:eastAsia="Times New Roman" w:cs="Times New Roman"/>
          <w:lang w:val="en-GB" w:eastAsia="en-GB" w:bidi="en-GB"/>
        </w:rPr>
        <w:fldChar w:fldCharType="separate"/>
      </w:r>
      <w:r>
        <w:rPr>
          <w:rFonts w:eastAsia="Times New Roman" w:cs="Times New Roman"/>
          <w:noProof/>
          <w:lang w:val="en-GB" w:eastAsia="en-GB" w:bidi="en-GB"/>
        </w:rPr>
        <w:t>(Cummins, 2018c)</w:t>
      </w:r>
      <w:r>
        <w:rPr>
          <w:rFonts w:eastAsia="Times New Roman" w:cs="Times New Roman"/>
          <w:lang w:val="en-GB" w:eastAsia="en-GB" w:bidi="en-GB"/>
        </w:rPr>
        <w:fldChar w:fldCharType="end"/>
      </w:r>
      <w:r>
        <w:rPr>
          <w:rFonts w:eastAsia="Times New Roman" w:cs="Times New Roman"/>
          <w:lang w:val="en-GB" w:eastAsia="en-GB" w:bidi="en-GB"/>
        </w:rPr>
        <w:t>.</w:t>
      </w:r>
    </w:p>
    <w:p w:rsidR="00E318B0" w:rsidRDefault="00E318B0" w:rsidP="00E318B0">
      <w:pPr>
        <w:rPr>
          <w:rFonts w:eastAsia="Times New Roman" w:cs="Times New Roman"/>
          <w:lang w:val="en-GB" w:eastAsia="en-GB" w:bidi="en-GB"/>
        </w:rPr>
      </w:pPr>
    </w:p>
    <w:p w:rsidR="00E318B0" w:rsidRPr="0091284A" w:rsidRDefault="00E318B0" w:rsidP="00E318B0">
      <w:pPr>
        <w:rPr>
          <w:rFonts w:eastAsia="Times New Roman" w:cs="Times New Roman"/>
          <w:lang w:val="en-US"/>
        </w:rPr>
      </w:pPr>
      <w:r>
        <w:rPr>
          <w:rFonts w:eastAsia="Times New Roman" w:cs="Times New Roman"/>
          <w:lang w:val="en-GB" w:eastAsia="en-GB" w:bidi="en-GB"/>
        </w:rPr>
        <w:t xml:space="preserve">2. Much of Evans’ philosophic opposition to government interventions rests on a </w:t>
      </w:r>
      <w:proofErr w:type="spellStart"/>
      <w:r>
        <w:rPr>
          <w:rFonts w:eastAsia="Times New Roman" w:cs="Times New Roman"/>
          <w:lang w:val="en-GB" w:eastAsia="en-GB" w:bidi="en-GB"/>
        </w:rPr>
        <w:t>eudaimonic</w:t>
      </w:r>
      <w:proofErr w:type="spellEnd"/>
      <w:r>
        <w:rPr>
          <w:rFonts w:eastAsia="Times New Roman" w:cs="Times New Roman"/>
          <w:lang w:val="en-GB" w:eastAsia="en-GB" w:bidi="en-GB"/>
        </w:rPr>
        <w:t xml:space="preserve"> concern by “</w:t>
      </w:r>
      <w:r w:rsidRPr="009535C6">
        <w:rPr>
          <w:rFonts w:eastAsia="Times New Roman" w:cs="Times New Roman"/>
          <w:lang w:val="en-GB" w:eastAsia="en-GB" w:bidi="en-GB"/>
        </w:rPr>
        <w:t xml:space="preserve">policy-makers </w:t>
      </w:r>
      <w:r>
        <w:rPr>
          <w:rFonts w:eastAsia="Times New Roman" w:cs="Times New Roman"/>
          <w:lang w:val="en-GB" w:eastAsia="en-GB" w:bidi="en-GB"/>
        </w:rPr>
        <w:t xml:space="preserve">… </w:t>
      </w:r>
      <w:proofErr w:type="gramStart"/>
      <w:r>
        <w:rPr>
          <w:rFonts w:eastAsia="Times New Roman" w:cs="Times New Roman"/>
          <w:lang w:val="en-GB" w:eastAsia="en-GB" w:bidi="en-GB"/>
        </w:rPr>
        <w:t xml:space="preserve">that </w:t>
      </w:r>
      <w:r w:rsidRPr="009535C6">
        <w:rPr>
          <w:rFonts w:eastAsia="Times New Roman" w:cs="Times New Roman"/>
          <w:lang w:val="en-GB" w:eastAsia="en-GB" w:bidi="en-GB"/>
        </w:rPr>
        <w:t xml:space="preserve"> a</w:t>
      </w:r>
      <w:proofErr w:type="gramEnd"/>
      <w:r w:rsidRPr="009535C6">
        <w:rPr>
          <w:rFonts w:eastAsia="Times New Roman" w:cs="Times New Roman"/>
          <w:lang w:val="en-GB" w:eastAsia="en-GB" w:bidi="en-GB"/>
        </w:rPr>
        <w:t xml:space="preserve"> citizen's religious, spiritual or ethical beliefs are their own private business</w:t>
      </w:r>
      <w:r>
        <w:rPr>
          <w:rFonts w:eastAsia="Times New Roman" w:cs="Times New Roman"/>
          <w:lang w:val="en-GB" w:eastAsia="en-GB" w:bidi="en-GB"/>
        </w:rPr>
        <w:t xml:space="preserve"> … [and that] </w:t>
      </w:r>
      <w:r w:rsidRPr="00750C10">
        <w:rPr>
          <w:rFonts w:eastAsia="Times New Roman" w:cs="Times New Roman"/>
          <w:lang w:val="en-GB" w:eastAsia="en-GB" w:bidi="en-GB"/>
        </w:rPr>
        <w:t>attempts by governments to impose one</w:t>
      </w:r>
      <w:r>
        <w:rPr>
          <w:rFonts w:eastAsia="Times New Roman" w:cs="Times New Roman"/>
          <w:lang w:val="en-GB" w:eastAsia="en-GB" w:bidi="en-GB"/>
        </w:rPr>
        <w:t xml:space="preserve"> [</w:t>
      </w:r>
      <w:proofErr w:type="spellStart"/>
      <w:r>
        <w:rPr>
          <w:rFonts w:eastAsia="Times New Roman" w:cs="Times New Roman"/>
          <w:lang w:val="en-GB" w:eastAsia="en-GB" w:bidi="en-GB"/>
        </w:rPr>
        <w:t>eudaimonic</w:t>
      </w:r>
      <w:proofErr w:type="spellEnd"/>
      <w:r>
        <w:rPr>
          <w:rFonts w:eastAsia="Times New Roman" w:cs="Times New Roman"/>
          <w:lang w:val="en-GB" w:eastAsia="en-GB" w:bidi="en-GB"/>
        </w:rPr>
        <w:t>]</w:t>
      </w:r>
      <w:r w:rsidRPr="00750C10">
        <w:rPr>
          <w:rFonts w:eastAsia="Times New Roman" w:cs="Times New Roman"/>
          <w:lang w:val="en-GB" w:eastAsia="en-GB" w:bidi="en-GB"/>
        </w:rPr>
        <w:t xml:space="preserve"> conception could easily degenerate into the sort of illiberal totalitarianism</w:t>
      </w:r>
      <w:r>
        <w:rPr>
          <w:rFonts w:eastAsia="Times New Roman" w:cs="Times New Roman"/>
          <w:lang w:val="en-GB" w:eastAsia="en-GB" w:bidi="en-GB"/>
        </w:rPr>
        <w:t>”.</w:t>
      </w:r>
    </w:p>
    <w:p w:rsidR="00E318B0" w:rsidRDefault="00E318B0" w:rsidP="00E318B0">
      <w:r w:rsidRPr="001A6AD7">
        <w:rPr>
          <w:rFonts w:eastAsia="Times New Roman" w:cs="Times New Roman"/>
          <w:b/>
          <w:u w:val="single"/>
          <w:lang w:val="en-US"/>
        </w:rPr>
        <w:t>My response:</w:t>
      </w:r>
      <w:r>
        <w:rPr>
          <w:rFonts w:eastAsia="Times New Roman" w:cs="Times New Roman"/>
          <w:sz w:val="22"/>
          <w:szCs w:val="22"/>
          <w:lang w:val="en-US"/>
        </w:rPr>
        <w:t xml:space="preserve"> </w:t>
      </w:r>
      <w:r>
        <w:t>All of this becomes redundant in the face of an intervention based on understanding the scientific composition and psychological management of SWB.</w:t>
      </w:r>
    </w:p>
    <w:p w:rsidR="00E318B0" w:rsidRDefault="00E318B0" w:rsidP="00E318B0"/>
    <w:p w:rsidR="00E318B0" w:rsidRDefault="00E318B0" w:rsidP="00E318B0">
      <w:pPr>
        <w:rPr>
          <w:lang w:bidi="en-GB"/>
        </w:rPr>
      </w:pPr>
      <w:r>
        <w:t xml:space="preserve">3. Evans considers (the famous philosopher) </w:t>
      </w:r>
      <w:proofErr w:type="spellStart"/>
      <w:r>
        <w:t>Nozick’s</w:t>
      </w:r>
      <w:proofErr w:type="spellEnd"/>
      <w:r>
        <w:t xml:space="preserve"> view as ‘</w:t>
      </w:r>
      <w:r w:rsidRPr="001A6AD7">
        <w:rPr>
          <w:lang w:bidi="en-GB"/>
        </w:rPr>
        <w:t>undeniably attractive</w:t>
      </w:r>
      <w:r>
        <w:rPr>
          <w:lang w:bidi="en-GB"/>
        </w:rPr>
        <w:t xml:space="preserve">’, that the </w:t>
      </w:r>
      <w:r w:rsidRPr="001A6AD7">
        <w:rPr>
          <w:lang w:bidi="en-GB"/>
        </w:rPr>
        <w:t xml:space="preserve">best that we can hope for is a society in which </w:t>
      </w:r>
      <w:r w:rsidRPr="00A65AA6">
        <w:rPr>
          <w:i/>
          <w:lang w:bidi="en-GB"/>
        </w:rPr>
        <w:t>everyone is given as much freedom as possible to define the good life for themselves</w:t>
      </w:r>
      <w:r w:rsidRPr="001A6AD7">
        <w:rPr>
          <w:lang w:bidi="en-GB"/>
        </w:rPr>
        <w:t>.</w:t>
      </w:r>
      <w:r>
        <w:rPr>
          <w:lang w:bidi="en-GB"/>
        </w:rPr>
        <w:t xml:space="preserve">” </w:t>
      </w:r>
    </w:p>
    <w:p w:rsidR="00E318B0" w:rsidRDefault="00E318B0" w:rsidP="00E318B0">
      <w:pPr>
        <w:rPr>
          <w:i/>
          <w:lang w:bidi="en-GB"/>
        </w:rPr>
      </w:pPr>
      <w:r w:rsidRPr="00CE618C">
        <w:rPr>
          <w:b/>
          <w:lang w:bidi="en-GB"/>
        </w:rPr>
        <w:t>My response:</w:t>
      </w:r>
      <w:r>
        <w:rPr>
          <w:lang w:bidi="en-GB"/>
        </w:rPr>
        <w:t xml:space="preserve"> I find</w:t>
      </w:r>
      <w:r w:rsidRPr="001A6AD7">
        <w:rPr>
          <w:lang w:bidi="en-GB"/>
        </w:rPr>
        <w:t xml:space="preserve"> </w:t>
      </w:r>
      <w:r>
        <w:rPr>
          <w:lang w:bidi="en-GB"/>
        </w:rPr>
        <w:t>this statement deniably attractive. I would endorse an alternative statement such that ‘</w:t>
      </w:r>
      <w:r w:rsidRPr="00A65AA6">
        <w:rPr>
          <w:i/>
          <w:lang w:bidi="en-GB"/>
        </w:rPr>
        <w:t xml:space="preserve">everyone is </w:t>
      </w:r>
      <w:r>
        <w:rPr>
          <w:i/>
          <w:lang w:bidi="en-GB"/>
        </w:rPr>
        <w:t>provided with</w:t>
      </w:r>
      <w:r w:rsidRPr="00A65AA6">
        <w:rPr>
          <w:i/>
          <w:lang w:bidi="en-GB"/>
        </w:rPr>
        <w:t xml:space="preserve"> the resources to achieve normal-range levels of SWB</w:t>
      </w:r>
      <w:r>
        <w:rPr>
          <w:i/>
          <w:lang w:bidi="en-GB"/>
        </w:rPr>
        <w:t>.</w:t>
      </w:r>
      <w:r w:rsidRPr="00A65AA6">
        <w:rPr>
          <w:i/>
          <w:lang w:bidi="en-GB"/>
        </w:rPr>
        <w:t>’</w:t>
      </w:r>
    </w:p>
    <w:p w:rsidR="00E318B0" w:rsidRDefault="00E318B0" w:rsidP="00E318B0">
      <w:pPr>
        <w:rPr>
          <w:i/>
          <w:lang w:bidi="en-GB"/>
        </w:rPr>
      </w:pPr>
    </w:p>
    <w:p w:rsidR="00E318B0" w:rsidRDefault="00E318B0" w:rsidP="00E318B0">
      <w:pPr>
        <w:rPr>
          <w:lang w:val="en-GB" w:bidi="en-GB"/>
        </w:rPr>
      </w:pPr>
      <w:r>
        <w:rPr>
          <w:lang w:bidi="en-GB"/>
        </w:rPr>
        <w:t xml:space="preserve">4. Evans endorses the mass (voluntary) use of Cognitive </w:t>
      </w:r>
      <w:proofErr w:type="spellStart"/>
      <w:r>
        <w:rPr>
          <w:lang w:bidi="en-GB"/>
        </w:rPr>
        <w:t>Behavior</w:t>
      </w:r>
      <w:proofErr w:type="spellEnd"/>
      <w:r>
        <w:rPr>
          <w:lang w:bidi="en-GB"/>
        </w:rPr>
        <w:t xml:space="preserve"> Therapy. He explains that through CBT “</w:t>
      </w:r>
      <w:r w:rsidRPr="007D1D38">
        <w:rPr>
          <w:lang w:val="en-GB" w:bidi="en-GB"/>
        </w:rPr>
        <w:t xml:space="preserve">We can change our emotions by using the 'Socratic method' to discover our underlying beliefs and values, and then changing those beliefs that are harmful, as well as changing our behaviour. </w:t>
      </w:r>
    </w:p>
    <w:p w:rsidR="00E318B0" w:rsidRPr="00FF7CE9" w:rsidRDefault="00E318B0" w:rsidP="00E318B0">
      <w:r w:rsidRPr="00CE618C">
        <w:rPr>
          <w:b/>
        </w:rPr>
        <w:t>My response:</w:t>
      </w:r>
      <w:r>
        <w:t xml:space="preserve"> There is considerable danger in the mass-use of CBT or other forms of mind-control, graphically described by many authors </w:t>
      </w:r>
      <w:r>
        <w:fldChar w:fldCharType="begin"/>
      </w:r>
      <w:r>
        <w:instrText xml:space="preserve"> ADDIN EN.CITE &lt;EndNote&gt;&lt;Cite&gt;&lt;Author&gt;Leader&lt;/Author&gt;&lt;Year&gt;2007&lt;/Year&gt;&lt;RecNum&gt;3917&lt;/RecNum&gt;&lt;Prefix&gt;e.g. &lt;/Prefix&gt;&lt;DisplayText&gt;(e.g. Leader, 2007)&lt;/DisplayText&gt;&lt;record&gt;&lt;rec-number&gt;3917&lt;/rec-number&gt;&lt;foreign-keys&gt;&lt;key app="EN" db-id="z2xarpe9cfrvp4ezdxk5ddx9dsrzr05f22sa" timestamp="1567239428"&gt;3917&lt;/key&gt;&lt;/foreign-keys&gt;&lt;ref-type name="Magazine Article"&gt;19&lt;/ref-type&gt;&lt;contributors&gt;&lt;authors&gt;&lt;author&gt;Leader, D.&lt;/author&gt;&lt;/authors&gt;&lt;/contributors&gt;&lt;titles&gt;&lt;title&gt;A dark age for mental health&lt;/title&gt;&lt;secondary-title&gt;Guardian [online]. Available at: https://www.theguardian.com/commentisfree/2007/oct/13/comment.publicservices [Accessed on 30 Sep 2019]&lt;/secondary-title&gt;&lt;/titles&gt;&lt;dates&gt;&lt;year&gt;2007&lt;/year&gt;&lt;/dates&gt;&lt;urls&gt;&lt;/urls&gt;&lt;/record&gt;&lt;/Cite&gt;&lt;/EndNote&gt;</w:instrText>
      </w:r>
      <w:r>
        <w:fldChar w:fldCharType="separate"/>
      </w:r>
      <w:r>
        <w:rPr>
          <w:noProof/>
        </w:rPr>
        <w:t>(e.g. Leader, 2007)</w:t>
      </w:r>
      <w:r>
        <w:fldChar w:fldCharType="end"/>
      </w:r>
      <w:r>
        <w:t>. In the current context, an obvious danger is the use of government resources to change beliefs</w:t>
      </w:r>
      <w:r w:rsidR="005A5A7D">
        <w:t xml:space="preserve"> about the self</w:t>
      </w:r>
      <w:r>
        <w:t xml:space="preserve">, </w:t>
      </w:r>
      <w:r w:rsidRPr="007D1D38">
        <w:t xml:space="preserve">instead of </w:t>
      </w:r>
      <w:r>
        <w:t xml:space="preserve">providing </w:t>
      </w:r>
      <w:r w:rsidRPr="007D1D38">
        <w:t xml:space="preserve">access to </w:t>
      </w:r>
      <w:r>
        <w:t xml:space="preserve">the </w:t>
      </w:r>
      <w:r w:rsidRPr="007D1D38">
        <w:t>resources</w:t>
      </w:r>
      <w:r>
        <w:t xml:space="preserve"> necessary for people to regain homeostatic control</w:t>
      </w:r>
      <w:r w:rsidRPr="007D1D38">
        <w:t>.</w:t>
      </w:r>
    </w:p>
    <w:p w:rsidR="00E318B0" w:rsidRDefault="00E318B0" w:rsidP="00E318B0"/>
    <w:p w:rsidR="00740E1E" w:rsidRPr="00E318B0" w:rsidRDefault="00E318B0" w:rsidP="00E318B0">
      <w:r w:rsidRPr="00FF7CE9">
        <w:rPr>
          <w:b/>
        </w:rPr>
        <w:t>Summary:</w:t>
      </w:r>
      <w:r>
        <w:t xml:space="preserve"> Both ‘</w:t>
      </w:r>
      <w:proofErr w:type="spellStart"/>
      <w:r>
        <w:t>eudaimonia</w:t>
      </w:r>
      <w:proofErr w:type="spellEnd"/>
      <w:r>
        <w:t>’ and ‘</w:t>
      </w:r>
      <w:proofErr w:type="spellStart"/>
      <w:r>
        <w:t>hedonia</w:t>
      </w:r>
      <w:proofErr w:type="spellEnd"/>
      <w:r>
        <w:t>’ are toxic to understanding when used in discussions about government resources being used to better the wellbeing of society.</w:t>
      </w:r>
      <w:r w:rsidRPr="007D1D38">
        <w:t xml:space="preserve"> </w:t>
      </w:r>
      <w:r>
        <w:t xml:space="preserve">Both terms are also toxic to the scientific understanding of wellbeing generally. In contemporary discussions of wellbeing, both </w:t>
      </w:r>
      <w:proofErr w:type="spellStart"/>
      <w:r>
        <w:t>eudaimonia</w:t>
      </w:r>
      <w:proofErr w:type="spellEnd"/>
      <w:r>
        <w:t xml:space="preserve"> and </w:t>
      </w:r>
      <w:proofErr w:type="spellStart"/>
      <w:r>
        <w:t>hedonia</w:t>
      </w:r>
      <w:proofErr w:type="spellEnd"/>
      <w:r>
        <w:t xml:space="preserve"> need to be replaced by contemporary terms which convey scientific understanding.</w:t>
      </w:r>
    </w:p>
    <w:p w:rsidR="00740E1E" w:rsidRPr="00BB5D46" w:rsidRDefault="00740E1E" w:rsidP="00740E1E">
      <w:pPr>
        <w:jc w:val="center"/>
        <w:rPr>
          <w:rFonts w:eastAsia="Arial" w:cs="Times New Roman"/>
          <w:i/>
        </w:rPr>
      </w:pPr>
    </w:p>
    <w:p w:rsidR="00740E1E" w:rsidRPr="00BB5D46" w:rsidRDefault="00740E1E" w:rsidP="00740E1E">
      <w:pPr>
        <w:jc w:val="center"/>
        <w:rPr>
          <w:rFonts w:eastAsia="Arial" w:cs="Times New Roman"/>
          <w:i/>
        </w:rPr>
      </w:pPr>
      <w:r w:rsidRPr="00BB5D46">
        <w:rPr>
          <w:rFonts w:eastAsia="Arial" w:cs="Times New Roman"/>
          <w:i/>
        </w:rPr>
        <w:t xml:space="preserve">Further discussion of </w:t>
      </w:r>
      <w:r w:rsidR="00B73202">
        <w:rPr>
          <w:rFonts w:eastAsia="Arial" w:cs="Times New Roman"/>
          <w:i/>
        </w:rPr>
        <w:t>this paper,</w:t>
      </w:r>
      <w:r w:rsidRPr="00BB5D46">
        <w:rPr>
          <w:rFonts w:eastAsia="Arial" w:cs="Times New Roman"/>
          <w:i/>
        </w:rPr>
        <w:t xml:space="preserve"> for circulation to members, is invited. Send to: </w:t>
      </w:r>
      <w:hyperlink r:id="rId116" w:history="1">
        <w:r w:rsidRPr="00BB5D46">
          <w:rPr>
            <w:rFonts w:eastAsia="Arial" w:cs="Times New Roman"/>
            <w:i/>
            <w:color w:val="0563C1"/>
            <w:u w:val="single"/>
          </w:rPr>
          <w:t>robert.cummins@deakin.edu.au</w:t>
        </w:r>
      </w:hyperlink>
    </w:p>
    <w:p w:rsidR="00740E1E" w:rsidRPr="00BB5D46" w:rsidRDefault="00740E1E" w:rsidP="00740E1E">
      <w:pPr>
        <w:jc w:val="center"/>
        <w:rPr>
          <w:rFonts w:eastAsia="Arial" w:cs="Times New Roman"/>
          <w:i/>
        </w:rPr>
      </w:pPr>
      <w:r w:rsidRPr="00BB5D46">
        <w:rPr>
          <w:rFonts w:eastAsia="Arial" w:cs="Times New Roman"/>
          <w:i/>
        </w:rPr>
        <w:t xml:space="preserve">Substantive comments received by midnight on </w:t>
      </w:r>
      <w:r w:rsidRPr="00B73202">
        <w:rPr>
          <w:rFonts w:eastAsia="Arial" w:cs="Times New Roman"/>
          <w:i/>
        </w:rPr>
        <w:t xml:space="preserve">Monday </w:t>
      </w:r>
      <w:r w:rsidR="00B73202" w:rsidRPr="00B73202">
        <w:rPr>
          <w:rFonts w:eastAsia="Arial" w:cs="Times New Roman"/>
          <w:i/>
        </w:rPr>
        <w:t>9</w:t>
      </w:r>
      <w:r w:rsidR="00B73202" w:rsidRPr="00B73202">
        <w:rPr>
          <w:rFonts w:eastAsia="Arial" w:cs="Times New Roman"/>
          <w:i/>
          <w:vertAlign w:val="superscript"/>
        </w:rPr>
        <w:t>th</w:t>
      </w:r>
      <w:r w:rsidR="00B73202" w:rsidRPr="00B73202">
        <w:rPr>
          <w:rFonts w:eastAsia="Arial" w:cs="Times New Roman"/>
          <w:i/>
        </w:rPr>
        <w:t xml:space="preserve"> September </w:t>
      </w:r>
      <w:r w:rsidRPr="00B73202">
        <w:rPr>
          <w:rFonts w:eastAsia="Arial" w:cs="Times New Roman"/>
          <w:i/>
        </w:rPr>
        <w:t>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740E1E" w:rsidRDefault="00740E1E" w:rsidP="00740E1E">
      <w:pPr>
        <w:rPr>
          <w:rFonts w:eastAsia="Arial" w:cs="Times New Roman"/>
          <w:i/>
        </w:rPr>
      </w:pPr>
    </w:p>
    <w:p w:rsidR="00740E1E" w:rsidRPr="00BB5D46" w:rsidRDefault="00740E1E" w:rsidP="00740E1E">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w:t>
      </w:r>
      <w:r>
        <w:rPr>
          <w:rFonts w:eastAsia="Arial" w:cs="Times New Roman"/>
          <w:i/>
        </w:rPr>
        <w:t>, queries or comments,</w:t>
      </w:r>
      <w:r w:rsidRPr="00BB5D46">
        <w:rPr>
          <w:rFonts w:eastAsia="Arial" w:cs="Times New Roman"/>
          <w:i/>
        </w:rPr>
        <w:t xml:space="preserve"> on the topic of life quality, for distribution and discussion by members under these same conditions.</w:t>
      </w:r>
    </w:p>
    <w:p w:rsidR="00740E1E" w:rsidRPr="00BB5D46" w:rsidRDefault="00740E1E" w:rsidP="0071191A">
      <w:pPr>
        <w:rPr>
          <w:rFonts w:eastAsia="Arial" w:cs="Times New Roman"/>
          <w:b/>
          <w:color w:val="000000"/>
          <w:sz w:val="32"/>
          <w:szCs w:val="32"/>
          <w:lang w:val="en-US"/>
        </w:rPr>
      </w:pPr>
    </w:p>
    <w:p w:rsidR="00740E1E" w:rsidRDefault="00740E1E" w:rsidP="00740E1E">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740E1E" w:rsidRPr="003E1BB4" w:rsidRDefault="00740E1E" w:rsidP="003E1BB4">
      <w:pPr>
        <w:jc w:val="center"/>
        <w:rPr>
          <w:rFonts w:eastAsia="Calibri" w:cs="Times New Roman"/>
          <w:i/>
          <w:szCs w:val="22"/>
        </w:rPr>
      </w:pPr>
      <w:r w:rsidRPr="007F0718">
        <w:rPr>
          <w:rFonts w:eastAsia="Calibri" w:cs="Times New Roman"/>
          <w:i/>
          <w:szCs w:val="22"/>
        </w:rPr>
        <w:t>Sourced from the Analysis &amp; Policy Observatory</w:t>
      </w:r>
    </w:p>
    <w:p w:rsidR="00740E1E" w:rsidRPr="00BB5D46" w:rsidRDefault="00740E1E" w:rsidP="00740E1E">
      <w:pPr>
        <w:jc w:val="center"/>
        <w:rPr>
          <w:rFonts w:eastAsia="Arial" w:cs="Times New Roman"/>
          <w:b/>
          <w:color w:val="000000"/>
          <w:sz w:val="32"/>
          <w:szCs w:val="32"/>
          <w:lang w:val="en-US"/>
        </w:rPr>
      </w:pPr>
    </w:p>
    <w:p w:rsidR="0071191A" w:rsidRPr="0071191A" w:rsidRDefault="0071191A" w:rsidP="0071191A">
      <w:pPr>
        <w:pStyle w:val="NoSpacing"/>
      </w:pPr>
      <w:r w:rsidRPr="0071191A">
        <w:t xml:space="preserve">Gardener, L., &amp; Costello, C. (2019). </w:t>
      </w:r>
      <w:r w:rsidRPr="0071191A">
        <w:rPr>
          <w:i/>
          <w:iCs/>
        </w:rPr>
        <w:t>STRONGER TOGETHER: The impact of family separation on refugees and humanitarian migrants in Australia</w:t>
      </w:r>
      <w:r w:rsidRPr="0071191A">
        <w:t xml:space="preserve">. Melbourne: Oxfam Australia </w:t>
      </w:r>
      <w:r w:rsidRPr="0071191A">
        <w:rPr>
          <w:sz w:val="20"/>
          <w:szCs w:val="20"/>
        </w:rPr>
        <w:t xml:space="preserve">h t </w:t>
      </w:r>
      <w:proofErr w:type="spellStart"/>
      <w:r w:rsidRPr="0071191A">
        <w:rPr>
          <w:sz w:val="20"/>
          <w:szCs w:val="20"/>
        </w:rPr>
        <w:t>t</w:t>
      </w:r>
      <w:proofErr w:type="spellEnd"/>
      <w:r w:rsidRPr="0071191A">
        <w:rPr>
          <w:sz w:val="20"/>
          <w:szCs w:val="20"/>
        </w:rPr>
        <w:t xml:space="preserve"> p </w:t>
      </w:r>
      <w:proofErr w:type="gramStart"/>
      <w:r w:rsidRPr="0071191A">
        <w:rPr>
          <w:sz w:val="20"/>
          <w:szCs w:val="20"/>
        </w:rPr>
        <w:t>s :</w:t>
      </w:r>
      <w:proofErr w:type="gramEnd"/>
      <w:r w:rsidRPr="0071191A">
        <w:rPr>
          <w:sz w:val="20"/>
          <w:szCs w:val="20"/>
        </w:rPr>
        <w:t xml:space="preserve"> / / a p o . o r </w:t>
      </w:r>
      <w:proofErr w:type="gramStart"/>
      <w:r w:rsidRPr="0071191A">
        <w:rPr>
          <w:sz w:val="20"/>
          <w:szCs w:val="20"/>
        </w:rPr>
        <w:t>g .</w:t>
      </w:r>
      <w:proofErr w:type="gramEnd"/>
      <w:r w:rsidRPr="0071191A">
        <w:rPr>
          <w:sz w:val="20"/>
          <w:szCs w:val="20"/>
        </w:rPr>
        <w:t xml:space="preserve"> a u / s </w:t>
      </w:r>
      <w:proofErr w:type="spellStart"/>
      <w:r w:rsidRPr="0071191A">
        <w:rPr>
          <w:sz w:val="20"/>
          <w:szCs w:val="20"/>
        </w:rPr>
        <w:t>i</w:t>
      </w:r>
      <w:proofErr w:type="spellEnd"/>
      <w:r w:rsidRPr="0071191A">
        <w:rPr>
          <w:sz w:val="20"/>
          <w:szCs w:val="20"/>
        </w:rPr>
        <w:t xml:space="preserve"> t e s / d e f a u l t / f </w:t>
      </w:r>
      <w:proofErr w:type="spellStart"/>
      <w:r w:rsidRPr="0071191A">
        <w:rPr>
          <w:sz w:val="20"/>
          <w:szCs w:val="20"/>
        </w:rPr>
        <w:t>i</w:t>
      </w:r>
      <w:proofErr w:type="spellEnd"/>
      <w:r w:rsidRPr="0071191A">
        <w:rPr>
          <w:sz w:val="20"/>
          <w:szCs w:val="20"/>
        </w:rPr>
        <w:t xml:space="preserve"> l e s / r e s o u r c e - f </w:t>
      </w:r>
      <w:proofErr w:type="spellStart"/>
      <w:r w:rsidRPr="0071191A">
        <w:rPr>
          <w:sz w:val="20"/>
          <w:szCs w:val="20"/>
        </w:rPr>
        <w:t>i</w:t>
      </w:r>
      <w:proofErr w:type="spellEnd"/>
      <w:r w:rsidRPr="0071191A">
        <w:rPr>
          <w:sz w:val="20"/>
          <w:szCs w:val="20"/>
        </w:rPr>
        <w:t xml:space="preserve"> l e s / 2 0 1 9 / 0 8 /a p o - n </w:t>
      </w:r>
      <w:proofErr w:type="spellStart"/>
      <w:r w:rsidRPr="0071191A">
        <w:rPr>
          <w:sz w:val="20"/>
          <w:szCs w:val="20"/>
        </w:rPr>
        <w:t>i</w:t>
      </w:r>
      <w:proofErr w:type="spellEnd"/>
      <w:r w:rsidRPr="0071191A">
        <w:rPr>
          <w:sz w:val="20"/>
          <w:szCs w:val="20"/>
        </w:rPr>
        <w:t xml:space="preserve"> d 2 5 5 5 5 1 - 1 3 8 2 4 8 6 . p d f.</w:t>
      </w:r>
    </w:p>
    <w:p w:rsidR="0071191A" w:rsidRDefault="0071191A" w:rsidP="00740E1E">
      <w:pPr>
        <w:rPr>
          <w:rFonts w:eastAsia="Arial" w:cs="Times New Roman"/>
          <w:color w:val="000000"/>
          <w:sz w:val="20"/>
          <w:szCs w:val="20"/>
          <w:lang w:val="en-US"/>
        </w:rPr>
      </w:pPr>
    </w:p>
    <w:p w:rsidR="0071191A" w:rsidRPr="0071191A" w:rsidRDefault="0071191A" w:rsidP="0071191A">
      <w:pPr>
        <w:autoSpaceDE w:val="0"/>
        <w:autoSpaceDN w:val="0"/>
        <w:adjustRightInd w:val="0"/>
        <w:rPr>
          <w:rFonts w:cs="Times New Roman"/>
          <w:color w:val="231F20"/>
        </w:rPr>
      </w:pPr>
      <w:r w:rsidRPr="0071191A">
        <w:rPr>
          <w:rFonts w:cs="Times New Roman"/>
          <w:color w:val="231F20"/>
        </w:rPr>
        <w:lastRenderedPageBreak/>
        <w:t>Currently, the Australian Government offers limited oppor</w:t>
      </w:r>
      <w:r>
        <w:rPr>
          <w:rFonts w:cs="Times New Roman"/>
          <w:color w:val="231F20"/>
        </w:rPr>
        <w:t xml:space="preserve">tunities for family reunion for </w:t>
      </w:r>
      <w:r w:rsidRPr="0071191A">
        <w:rPr>
          <w:rFonts w:cs="Times New Roman"/>
          <w:color w:val="231F20"/>
        </w:rPr>
        <w:t>refugees and humanitarian migrants, and the barriers to successful applications are high.</w:t>
      </w:r>
    </w:p>
    <w:p w:rsidR="0071191A" w:rsidRPr="0071191A" w:rsidRDefault="0071191A" w:rsidP="0071191A">
      <w:pPr>
        <w:autoSpaceDE w:val="0"/>
        <w:autoSpaceDN w:val="0"/>
        <w:adjustRightInd w:val="0"/>
        <w:rPr>
          <w:rFonts w:cs="Times New Roman"/>
          <w:color w:val="231F20"/>
        </w:rPr>
      </w:pPr>
      <w:r w:rsidRPr="0071191A">
        <w:rPr>
          <w:rFonts w:cs="Times New Roman"/>
          <w:color w:val="231F20"/>
        </w:rPr>
        <w:t>However, family reunion offers humanitarian migrants the best chance to rebuild their</w:t>
      </w:r>
    </w:p>
    <w:p w:rsidR="0071191A" w:rsidRPr="0071191A" w:rsidRDefault="0071191A" w:rsidP="0071191A">
      <w:pPr>
        <w:autoSpaceDE w:val="0"/>
        <w:autoSpaceDN w:val="0"/>
        <w:adjustRightInd w:val="0"/>
        <w:rPr>
          <w:rFonts w:cs="Times New Roman"/>
          <w:color w:val="231F20"/>
        </w:rPr>
      </w:pPr>
      <w:r w:rsidRPr="0071191A">
        <w:rPr>
          <w:rFonts w:cs="Times New Roman"/>
          <w:color w:val="231F20"/>
        </w:rPr>
        <w:t>lives on a firm footing — with their family by their side. Australia should establish a new</w:t>
      </w:r>
    </w:p>
    <w:p w:rsidR="0071191A" w:rsidRPr="0071191A" w:rsidRDefault="0071191A" w:rsidP="0071191A">
      <w:pPr>
        <w:autoSpaceDE w:val="0"/>
        <w:autoSpaceDN w:val="0"/>
        <w:adjustRightInd w:val="0"/>
        <w:rPr>
          <w:rFonts w:cs="Times New Roman"/>
          <w:color w:val="231F20"/>
        </w:rPr>
      </w:pPr>
      <w:r w:rsidRPr="0071191A">
        <w:rPr>
          <w:rFonts w:cs="Times New Roman"/>
          <w:color w:val="231F20"/>
        </w:rPr>
        <w:t>Humanitarian Family Reunion visa stream within an increased Refugee and Humanitarian</w:t>
      </w:r>
    </w:p>
    <w:p w:rsidR="0071191A" w:rsidRPr="0071191A" w:rsidRDefault="0071191A" w:rsidP="0071191A">
      <w:pPr>
        <w:autoSpaceDE w:val="0"/>
        <w:autoSpaceDN w:val="0"/>
        <w:adjustRightInd w:val="0"/>
        <w:rPr>
          <w:rFonts w:cs="Times New Roman"/>
          <w:color w:val="231F20"/>
        </w:rPr>
      </w:pPr>
      <w:r w:rsidRPr="0071191A">
        <w:rPr>
          <w:rFonts w:cs="Times New Roman"/>
          <w:color w:val="231F20"/>
        </w:rPr>
        <w:t>Program to make family reunion for humanit</w:t>
      </w:r>
      <w:r>
        <w:rPr>
          <w:rFonts w:cs="Times New Roman"/>
          <w:color w:val="231F20"/>
        </w:rPr>
        <w:t xml:space="preserve">arian migrants more accessible. </w:t>
      </w:r>
      <w:r w:rsidRPr="0071191A">
        <w:rPr>
          <w:rFonts w:cs="Times New Roman"/>
          <w:color w:val="231F20"/>
        </w:rPr>
        <w:t>As this report shows, Australia stands to reap</w:t>
      </w:r>
      <w:r>
        <w:rPr>
          <w:rFonts w:cs="Times New Roman"/>
          <w:color w:val="231F20"/>
        </w:rPr>
        <w:t xml:space="preserve"> significant long-term economic</w:t>
      </w:r>
      <w:r w:rsidR="00E55380">
        <w:rPr>
          <w:rFonts w:cs="Times New Roman"/>
          <w:color w:val="231F20"/>
        </w:rPr>
        <w:t xml:space="preserve"> and wellbeing</w:t>
      </w:r>
      <w:r>
        <w:rPr>
          <w:rFonts w:cs="Times New Roman"/>
          <w:color w:val="231F20"/>
        </w:rPr>
        <w:t xml:space="preserve"> </w:t>
      </w:r>
      <w:r w:rsidRPr="0071191A">
        <w:rPr>
          <w:rFonts w:cs="Times New Roman"/>
          <w:color w:val="231F20"/>
        </w:rPr>
        <w:t>benefits from increasing our intake of people seeking safety.</w:t>
      </w:r>
    </w:p>
    <w:p w:rsidR="0071191A" w:rsidRPr="0071191A" w:rsidRDefault="00E55380" w:rsidP="0071191A">
      <w:pPr>
        <w:autoSpaceDE w:val="0"/>
        <w:autoSpaceDN w:val="0"/>
        <w:adjustRightInd w:val="0"/>
        <w:rPr>
          <w:rFonts w:cs="Times New Roman"/>
          <w:color w:val="231F20"/>
        </w:rPr>
      </w:pPr>
      <w:r>
        <w:rPr>
          <w:rFonts w:cs="Times New Roman"/>
          <w:color w:val="231F20"/>
        </w:rPr>
        <w:t>E</w:t>
      </w:r>
      <w:r w:rsidR="0071191A" w:rsidRPr="0071191A">
        <w:rPr>
          <w:rFonts w:cs="Times New Roman"/>
          <w:color w:val="231F20"/>
        </w:rPr>
        <w:t>conomic modelling undertaken by Delo</w:t>
      </w:r>
      <w:r>
        <w:rPr>
          <w:rFonts w:cs="Times New Roman"/>
          <w:color w:val="231F20"/>
        </w:rPr>
        <w:t xml:space="preserve">itte Access Economics for Oxfam found </w:t>
      </w:r>
      <w:r w:rsidR="0071191A" w:rsidRPr="0071191A">
        <w:rPr>
          <w:rFonts w:cs="Times New Roman"/>
          <w:color w:val="231F20"/>
        </w:rPr>
        <w:t>that increasing Australia’s Refugee and Humanita</w:t>
      </w:r>
      <w:r>
        <w:rPr>
          <w:rFonts w:cs="Times New Roman"/>
          <w:color w:val="231F20"/>
        </w:rPr>
        <w:t xml:space="preserve">rian Program could have notable </w:t>
      </w:r>
      <w:r w:rsidR="0071191A" w:rsidRPr="0071191A">
        <w:rPr>
          <w:rFonts w:cs="Times New Roman"/>
          <w:color w:val="231F20"/>
        </w:rPr>
        <w:t>positive impacts on the broader economy. An incr</w:t>
      </w:r>
      <w:r>
        <w:rPr>
          <w:rFonts w:cs="Times New Roman"/>
          <w:color w:val="231F20"/>
        </w:rPr>
        <w:t xml:space="preserve">ease in the humanitarian intake </w:t>
      </w:r>
      <w:r w:rsidR="0071191A" w:rsidRPr="0071191A">
        <w:rPr>
          <w:rFonts w:cs="Times New Roman"/>
          <w:color w:val="231F20"/>
        </w:rPr>
        <w:t>from 18,750 in 2019–2020 to 44,000 by 2022–2023 would:</w:t>
      </w:r>
    </w:p>
    <w:p w:rsidR="0071191A" w:rsidRPr="0071191A" w:rsidRDefault="0071191A" w:rsidP="0071191A">
      <w:pPr>
        <w:autoSpaceDE w:val="0"/>
        <w:autoSpaceDN w:val="0"/>
        <w:adjustRightInd w:val="0"/>
        <w:rPr>
          <w:rFonts w:cs="Times New Roman"/>
          <w:color w:val="231F20"/>
        </w:rPr>
      </w:pPr>
      <w:r w:rsidRPr="0071191A">
        <w:rPr>
          <w:rFonts w:cs="Times New Roman"/>
          <w:color w:val="231F20"/>
        </w:rPr>
        <w:t>• increase the size of the Australian economy by $37.7 billion in net present value terms over the next 50 years.</w:t>
      </w:r>
    </w:p>
    <w:p w:rsidR="0071191A" w:rsidRPr="0071191A" w:rsidRDefault="0071191A" w:rsidP="0071191A">
      <w:pPr>
        <w:autoSpaceDE w:val="0"/>
        <w:autoSpaceDN w:val="0"/>
        <w:adjustRightInd w:val="0"/>
        <w:rPr>
          <w:rFonts w:cs="Times New Roman"/>
          <w:color w:val="231F20"/>
        </w:rPr>
      </w:pPr>
      <w:r w:rsidRPr="0071191A">
        <w:rPr>
          <w:rFonts w:cs="Times New Roman"/>
          <w:color w:val="231F20"/>
        </w:rPr>
        <w:t>• sustain on average an additional 35,000 full-time equivalent jobs in the Australian economy every year for the next 50 years; and</w:t>
      </w:r>
    </w:p>
    <w:p w:rsidR="00740E1E" w:rsidRPr="0071191A" w:rsidRDefault="0071191A" w:rsidP="0071191A">
      <w:pPr>
        <w:rPr>
          <w:rFonts w:cs="Times New Roman"/>
        </w:rPr>
      </w:pPr>
      <w:r w:rsidRPr="0071191A">
        <w:rPr>
          <w:rFonts w:cs="Times New Roman"/>
          <w:color w:val="231F20"/>
        </w:rPr>
        <w:t>• increase demand for Australian goods and services by $18.2 billion in net present value terms.</w:t>
      </w:r>
    </w:p>
    <w:p w:rsidR="00740E1E" w:rsidRDefault="00740E1E" w:rsidP="00740E1E">
      <w:pPr>
        <w:jc w:val="center"/>
        <w:rPr>
          <w:rFonts w:ascii="Helvetica" w:hAnsi="Helvetica" w:cs="Helvetica"/>
          <w:sz w:val="18"/>
          <w:szCs w:val="18"/>
        </w:rPr>
      </w:pPr>
    </w:p>
    <w:p w:rsidR="00740E1E" w:rsidRPr="00CB131A" w:rsidRDefault="00740E1E" w:rsidP="00740E1E">
      <w:pPr>
        <w:jc w:val="center"/>
        <w:rPr>
          <w:rFonts w:eastAsia="Arial" w:cs="Times New Roman"/>
          <w:b/>
          <w:sz w:val="32"/>
          <w:szCs w:val="32"/>
        </w:rPr>
      </w:pPr>
      <w:r w:rsidRPr="00BB5D46">
        <w:rPr>
          <w:rFonts w:eastAsia="Arial" w:cs="Times New Roman"/>
          <w:b/>
          <w:sz w:val="32"/>
          <w:szCs w:val="32"/>
        </w:rPr>
        <w:t>Media news</w:t>
      </w:r>
    </w:p>
    <w:p w:rsidR="00740E1E" w:rsidRPr="00CB131A" w:rsidRDefault="00740E1E" w:rsidP="00740E1E">
      <w:pPr>
        <w:jc w:val="center"/>
        <w:rPr>
          <w:rFonts w:eastAsia="Arial" w:cs="Times New Roman"/>
          <w:i/>
        </w:rPr>
      </w:pPr>
      <w:r w:rsidRPr="00CB131A">
        <w:rPr>
          <w:rFonts w:eastAsia="Arial" w:cs="Times New Roman"/>
          <w:i/>
        </w:rPr>
        <w:t>Tanika Roberts [</w:t>
      </w:r>
      <w:hyperlink r:id="rId117" w:history="1">
        <w:r w:rsidRPr="00CB131A">
          <w:rPr>
            <w:rStyle w:val="Hyperlink"/>
            <w:rFonts w:eastAsia="Arial" w:cs="Times New Roman"/>
            <w:i/>
          </w:rPr>
          <w:t>trobe@deakin.edu.au</w:t>
        </w:r>
      </w:hyperlink>
      <w:r w:rsidRPr="00CB131A">
        <w:rPr>
          <w:rFonts w:eastAsia="Arial" w:cs="Times New Roman"/>
          <w:i/>
        </w:rPr>
        <w:t>]</w:t>
      </w:r>
    </w:p>
    <w:p w:rsidR="0097691D" w:rsidRDefault="00740E1E" w:rsidP="00E55380">
      <w:pPr>
        <w:jc w:val="center"/>
        <w:rPr>
          <w:rFonts w:eastAsia="Arial" w:cs="Times New Roman"/>
          <w:i/>
        </w:rPr>
      </w:pPr>
      <w:r w:rsidRPr="00CB131A">
        <w:rPr>
          <w:rFonts w:eastAsia="Arial" w:cs="Times New Roman"/>
          <w:i/>
        </w:rPr>
        <w:t>Executive Volun</w:t>
      </w:r>
      <w:r w:rsidR="00E55380">
        <w:rPr>
          <w:rFonts w:eastAsia="Arial" w:cs="Times New Roman"/>
          <w:i/>
        </w:rPr>
        <w:t>teer, Bulletin Co-Editor– Media</w:t>
      </w:r>
    </w:p>
    <w:p w:rsidR="00E55380" w:rsidRPr="00E55380" w:rsidRDefault="00E55380" w:rsidP="00E55380">
      <w:pPr>
        <w:jc w:val="center"/>
        <w:rPr>
          <w:rFonts w:eastAsia="Arial" w:cs="Times New Roman"/>
          <w:i/>
        </w:rPr>
      </w:pPr>
    </w:p>
    <w:p w:rsidR="0097691D" w:rsidRPr="0097691D" w:rsidRDefault="0097691D" w:rsidP="0097691D">
      <w:pPr>
        <w:shd w:val="clear" w:color="auto" w:fill="FFFFFF"/>
        <w:textAlignment w:val="baseline"/>
        <w:outlineLvl w:val="0"/>
        <w:rPr>
          <w:rFonts w:eastAsia="Times New Roman" w:cs="Times New Roman"/>
          <w:b/>
          <w:bCs/>
          <w:kern w:val="36"/>
          <w:sz w:val="28"/>
          <w:szCs w:val="28"/>
          <w:lang w:eastAsia="en-AU"/>
        </w:rPr>
      </w:pPr>
      <w:r w:rsidRPr="0097691D">
        <w:rPr>
          <w:rFonts w:eastAsia="Times New Roman" w:cs="Times New Roman"/>
          <w:b/>
          <w:bCs/>
          <w:color w:val="31313B"/>
          <w:kern w:val="36"/>
          <w:sz w:val="28"/>
          <w:szCs w:val="28"/>
          <w:lang w:eastAsia="en-AU"/>
        </w:rPr>
        <w:t>When anxiety happens as early as preschool, treatments can help</w:t>
      </w:r>
    </w:p>
    <w:p w:rsidR="0097691D" w:rsidRPr="0097691D" w:rsidRDefault="0097691D" w:rsidP="0097691D">
      <w:pPr>
        <w:shd w:val="clear" w:color="auto" w:fill="FFFFFF"/>
        <w:textAlignment w:val="baseline"/>
        <w:outlineLvl w:val="0"/>
        <w:rPr>
          <w:rFonts w:eastAsia="Times New Roman" w:cs="Times New Roman"/>
          <w:b/>
          <w:bCs/>
          <w:kern w:val="36"/>
          <w:sz w:val="48"/>
          <w:szCs w:val="48"/>
          <w:lang w:eastAsia="en-AU"/>
        </w:rPr>
      </w:pPr>
      <w:r w:rsidRPr="0097691D">
        <w:rPr>
          <w:rFonts w:eastAsia="Calibri" w:cs="Times New Roman"/>
          <w:sz w:val="20"/>
          <w:szCs w:val="20"/>
          <w:bdr w:val="none" w:sz="0" w:space="0" w:color="auto" w:frame="1"/>
          <w:shd w:val="clear" w:color="auto" w:fill="FFFFFF"/>
          <w:lang w:eastAsia="en-AU"/>
        </w:rPr>
        <w:t>SUJATA GUPTA</w:t>
      </w:r>
    </w:p>
    <w:p w:rsidR="0097691D" w:rsidRPr="0097691D" w:rsidRDefault="00DF3874" w:rsidP="0097691D">
      <w:pPr>
        <w:rPr>
          <w:rFonts w:eastAsia="Calibri" w:cs="Times New Roman"/>
          <w:lang w:eastAsia="en-AU"/>
        </w:rPr>
      </w:pPr>
      <w:hyperlink r:id="rId118" w:history="1">
        <w:r w:rsidR="0097691D" w:rsidRPr="0097691D">
          <w:rPr>
            <w:rFonts w:eastAsia="Calibri" w:cs="Times New Roman"/>
            <w:color w:val="0000FF"/>
            <w:sz w:val="21"/>
            <w:szCs w:val="21"/>
            <w:u w:val="single"/>
            <w:lang w:eastAsia="en-AU"/>
          </w:rPr>
          <w:t>https://www.sciencenews.org/article/when-anxiety-happens-early-preschool-treatments-can-help</w:t>
        </w:r>
      </w:hyperlink>
    </w:p>
    <w:p w:rsidR="0097691D" w:rsidRPr="0097691D" w:rsidRDefault="0097691D" w:rsidP="0097691D">
      <w:pPr>
        <w:rPr>
          <w:rFonts w:eastAsia="Calibri" w:cs="Times New Roman"/>
          <w:color w:val="31313B"/>
          <w:shd w:val="clear" w:color="auto" w:fill="FFFFFF"/>
          <w:lang w:eastAsia="en-AU"/>
        </w:rPr>
      </w:pPr>
    </w:p>
    <w:p w:rsidR="0097691D" w:rsidRPr="0097691D" w:rsidRDefault="0097691D" w:rsidP="0097691D">
      <w:pPr>
        <w:rPr>
          <w:rFonts w:eastAsia="Calibri" w:cs="Times New Roman"/>
          <w:color w:val="31313B"/>
          <w:lang w:eastAsia="en-AU"/>
        </w:rPr>
      </w:pPr>
      <w:r w:rsidRPr="0097691D">
        <w:rPr>
          <w:rFonts w:eastAsia="Calibri" w:cs="Times New Roman"/>
          <w:color w:val="31313B"/>
          <w:shd w:val="clear" w:color="auto" w:fill="FFFFFF"/>
          <w:lang w:eastAsia="en-AU"/>
        </w:rPr>
        <w:t xml:space="preserve">To experience fears about the future or social belonging is human, says Jerome </w:t>
      </w:r>
      <w:proofErr w:type="spellStart"/>
      <w:r w:rsidRPr="0097691D">
        <w:rPr>
          <w:rFonts w:eastAsia="Calibri" w:cs="Times New Roman"/>
          <w:color w:val="31313B"/>
          <w:shd w:val="clear" w:color="auto" w:fill="FFFFFF"/>
          <w:lang w:eastAsia="en-AU"/>
        </w:rPr>
        <w:t>Kagan</w:t>
      </w:r>
      <w:proofErr w:type="spellEnd"/>
      <w:r w:rsidRPr="0097691D">
        <w:rPr>
          <w:rFonts w:eastAsia="Calibri" w:cs="Times New Roman"/>
          <w:color w:val="31313B"/>
          <w:shd w:val="clear" w:color="auto" w:fill="FFFFFF"/>
          <w:lang w:eastAsia="en-AU"/>
        </w:rPr>
        <w:t>, a retired Harvard University psychologist and a leading researcher in the field. It’s normal for children to fear big, barking dogs, or to worry about losing a parent or how to respond when a classmate is being bullied. Only when such anxieties become all encompassing, when they interfere with overall happiness or the ability to interact in society, does the condition become pathological, meriting the name “anxiety disorder.”</w:t>
      </w:r>
      <w:r w:rsidRPr="0097691D">
        <w:rPr>
          <w:rFonts w:eastAsia="Calibri" w:cs="Times New Roman"/>
          <w:color w:val="31313B"/>
          <w:lang w:eastAsia="en-AU"/>
        </w:rPr>
        <w:t xml:space="preserve"> Young children may need a different kind of therapy to accommodate their developing brains </w:t>
      </w:r>
      <w:r w:rsidRPr="0097691D">
        <w:rPr>
          <w:rFonts w:eastAsia="Calibri" w:cs="Times New Roman"/>
          <w:color w:val="31313B"/>
          <w:shd w:val="clear" w:color="auto" w:fill="FFFFFF"/>
          <w:lang w:eastAsia="en-AU"/>
        </w:rPr>
        <w:t>researchers have identified</w:t>
      </w:r>
      <w:r w:rsidRPr="0097691D">
        <w:rPr>
          <w:rFonts w:eastAsia="Calibri" w:cs="Times New Roman"/>
          <w:color w:val="31313B"/>
          <w:lang w:eastAsia="en-AU"/>
        </w:rPr>
        <w:t xml:space="preserve"> a clear link between shyness in infancy and later anxiety, namely social anxiety.</w:t>
      </w:r>
    </w:p>
    <w:p w:rsidR="0097691D" w:rsidRPr="0097691D" w:rsidRDefault="0097691D" w:rsidP="0097691D">
      <w:pPr>
        <w:rPr>
          <w:rFonts w:eastAsia="Calibri" w:cs="Times New Roman"/>
          <w:lang w:eastAsia="en-AU"/>
        </w:rPr>
      </w:pPr>
    </w:p>
    <w:p w:rsidR="00740E1E" w:rsidRDefault="00740E1E" w:rsidP="00740E1E">
      <w:pPr>
        <w:jc w:val="center"/>
        <w:rPr>
          <w:rFonts w:eastAsia="Times New Roman" w:cs="Times New Roman"/>
          <w:b/>
          <w:sz w:val="32"/>
          <w:szCs w:val="32"/>
          <w:lang w:val="en-US"/>
        </w:rPr>
      </w:pPr>
      <w:r>
        <w:rPr>
          <w:rFonts w:eastAsia="Times New Roman" w:cs="Times New Roman"/>
          <w:b/>
          <w:sz w:val="32"/>
          <w:szCs w:val="32"/>
          <w:lang w:val="en-US"/>
        </w:rPr>
        <w:t xml:space="preserve">Report from Google Analytics for the </w:t>
      </w:r>
      <w:proofErr w:type="spellStart"/>
      <w:r>
        <w:rPr>
          <w:rFonts w:eastAsia="Times New Roman" w:cs="Times New Roman"/>
          <w:b/>
          <w:sz w:val="32"/>
          <w:szCs w:val="32"/>
          <w:lang w:val="en-US"/>
        </w:rPr>
        <w:t>ACQol</w:t>
      </w:r>
      <w:proofErr w:type="spellEnd"/>
      <w:r>
        <w:rPr>
          <w:rFonts w:eastAsia="Times New Roman" w:cs="Times New Roman"/>
          <w:b/>
          <w:sz w:val="32"/>
          <w:szCs w:val="32"/>
          <w:lang w:val="en-US"/>
        </w:rPr>
        <w:t xml:space="preserve"> site</w:t>
      </w:r>
    </w:p>
    <w:p w:rsidR="00740E1E" w:rsidRDefault="00740E1E" w:rsidP="00740E1E">
      <w:pPr>
        <w:jc w:val="center"/>
        <w:rPr>
          <w:rFonts w:eastAsia="Times New Roman" w:cs="Times New Roman"/>
          <w:lang w:eastAsia="en-AU"/>
        </w:rPr>
      </w:pPr>
      <w:r>
        <w:rPr>
          <w:rFonts w:eastAsia="Times New Roman" w:cs="Times New Roman"/>
          <w:lang w:eastAsia="en-AU"/>
        </w:rPr>
        <w:t xml:space="preserve">Inclusive period: </w:t>
      </w:r>
      <w:r w:rsidR="008912FD">
        <w:rPr>
          <w:rFonts w:eastAsia="Times New Roman" w:cs="Times New Roman"/>
          <w:lang w:eastAsia="en-AU"/>
        </w:rPr>
        <w:t>August</w:t>
      </w:r>
      <w:r>
        <w:rPr>
          <w:rFonts w:eastAsia="Times New Roman" w:cs="Times New Roman"/>
          <w:lang w:eastAsia="en-AU"/>
        </w:rPr>
        <w:t xml:space="preserve"> 2019</w:t>
      </w:r>
    </w:p>
    <w:p w:rsidR="00740E1E" w:rsidRDefault="00740E1E" w:rsidP="00740E1E">
      <w:pPr>
        <w:jc w:val="center"/>
        <w:rPr>
          <w:rFonts w:eastAsia="Times New Roman" w:cs="Times New Roman"/>
          <w:lang w:eastAsia="en-AU"/>
        </w:rPr>
      </w:pPr>
      <w:r>
        <w:rPr>
          <w:rFonts w:eastAsia="Times New Roman" w:cs="Times New Roman"/>
          <w:lang w:eastAsia="en-AU"/>
        </w:rPr>
        <w:t xml:space="preserve">Number of users = </w:t>
      </w:r>
      <w:r w:rsidR="008912FD">
        <w:rPr>
          <w:rFonts w:eastAsia="Times New Roman" w:cs="Times New Roman"/>
          <w:lang w:eastAsia="en-AU"/>
        </w:rPr>
        <w:t>827</w:t>
      </w:r>
    </w:p>
    <w:p w:rsidR="008912FD" w:rsidRPr="0062086B" w:rsidRDefault="008912FD" w:rsidP="00740E1E">
      <w:pPr>
        <w:jc w:val="center"/>
        <w:rPr>
          <w:rFonts w:eastAsia="Times New Roman" w:cs="Times New Roman"/>
          <w:lang w:eastAsia="en-AU"/>
        </w:rPr>
      </w:pPr>
    </w:p>
    <w:p w:rsidR="00740E1E" w:rsidRPr="00BB5D46" w:rsidRDefault="00740E1E" w:rsidP="00740E1E">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6F0D33" w:rsidRPr="006F0D33" w:rsidRDefault="006F0D33" w:rsidP="006F0D33">
      <w:pPr>
        <w:jc w:val="center"/>
        <w:rPr>
          <w:rFonts w:eastAsia="Calibri" w:cs="Times New Roman"/>
          <w:szCs w:val="22"/>
        </w:rPr>
      </w:pPr>
      <w:r w:rsidRPr="006F0D33">
        <w:rPr>
          <w:rFonts w:eastAsia="Calibri" w:cs="Times New Roman"/>
          <w:szCs w:val="22"/>
        </w:rPr>
        <w:t>Sangeetha Thomas &lt;thomassa@deakin.edu.au&gt;</w:t>
      </w:r>
      <w:r w:rsidRPr="006F0D33">
        <w:rPr>
          <w:rFonts w:eastAsia="Calibri" w:cs="Times New Roman"/>
          <w:szCs w:val="22"/>
        </w:rPr>
        <w:fldChar w:fldCharType="begin"/>
      </w:r>
      <w:r w:rsidRPr="006F0D33">
        <w:rPr>
          <w:rFonts w:eastAsia="Calibri" w:cs="Times New Roman"/>
          <w:szCs w:val="22"/>
        </w:rPr>
        <w:instrText xml:space="preserve">simonet@deakin.edu.au" </w:instrText>
      </w:r>
      <w:r w:rsidRPr="006F0D33">
        <w:rPr>
          <w:rFonts w:eastAsia="Calibri" w:cs="Times New Roman"/>
          <w:szCs w:val="22"/>
        </w:rPr>
        <w:fldChar w:fldCharType="separate"/>
      </w:r>
      <w:r w:rsidRPr="006F0D33">
        <w:rPr>
          <w:rFonts w:eastAsia="Calibri" w:cs="Times New Roman"/>
          <w:szCs w:val="22"/>
        </w:rPr>
        <w:t>simonet@deakin.edu.au</w:t>
      </w:r>
      <w:r w:rsidRPr="006F0D33">
        <w:rPr>
          <w:rFonts w:eastAsia="Calibri" w:cs="Times New Roman"/>
          <w:szCs w:val="22"/>
        </w:rPr>
        <w:fldChar w:fldCharType="end"/>
      </w:r>
    </w:p>
    <w:p w:rsidR="00740E1E" w:rsidRPr="00BB5D46" w:rsidRDefault="00740E1E" w:rsidP="00740E1E">
      <w:pPr>
        <w:jc w:val="center"/>
        <w:rPr>
          <w:rFonts w:eastAsia="Calibri" w:cs="Times New Roman"/>
          <w:i/>
          <w:szCs w:val="22"/>
        </w:rPr>
      </w:pPr>
      <w:r w:rsidRPr="00BB5D46">
        <w:rPr>
          <w:rFonts w:eastAsia="Calibri" w:cs="Times New Roman"/>
          <w:i/>
          <w:szCs w:val="22"/>
        </w:rPr>
        <w:t>Membership Registrar</w:t>
      </w:r>
    </w:p>
    <w:p w:rsidR="00740E1E" w:rsidRPr="00BB5D46" w:rsidRDefault="00740E1E" w:rsidP="00740E1E">
      <w:pPr>
        <w:rPr>
          <w:rFonts w:eastAsia="Calibri" w:cs="Times New Roman"/>
          <w:i/>
          <w:szCs w:val="22"/>
        </w:rPr>
      </w:pPr>
      <w:r w:rsidRPr="00BB5D46">
        <w:rPr>
          <w:rFonts w:eastAsia="Times New Roman" w:cs="Times New Roman"/>
          <w:b/>
          <w:sz w:val="32"/>
          <w:szCs w:val="32"/>
          <w:lang w:val="en-US"/>
        </w:rPr>
        <w:t>Welcome to new members</w:t>
      </w:r>
    </w:p>
    <w:p w:rsidR="00B73202" w:rsidRPr="00B73202" w:rsidRDefault="00DF3874" w:rsidP="00B73202">
      <w:pPr>
        <w:rPr>
          <w:rFonts w:eastAsia="DengXian" w:cs="Times New Roman"/>
          <w:b/>
          <w:bCs/>
          <w:lang w:eastAsia="zh-CN"/>
        </w:rPr>
      </w:pPr>
      <w:hyperlink r:id="rId119" w:history="1">
        <w:proofErr w:type="spellStart"/>
        <w:r w:rsidR="00B73202" w:rsidRPr="00B73202">
          <w:rPr>
            <w:rFonts w:eastAsia="DengXian" w:cs="Times New Roman"/>
            <w:b/>
            <w:bCs/>
            <w:color w:val="0000FF"/>
            <w:u w:val="single"/>
            <w:lang w:eastAsia="zh-CN"/>
          </w:rPr>
          <w:t>Dr.</w:t>
        </w:r>
        <w:proofErr w:type="spellEnd"/>
        <w:r w:rsidR="00B73202" w:rsidRPr="00B73202">
          <w:rPr>
            <w:rFonts w:eastAsia="DengXian" w:cs="Times New Roman"/>
            <w:b/>
            <w:bCs/>
            <w:color w:val="0000FF"/>
            <w:u w:val="single"/>
            <w:lang w:eastAsia="zh-CN"/>
          </w:rPr>
          <w:t xml:space="preserve"> Elena Grimaccia</w:t>
        </w:r>
      </w:hyperlink>
    </w:p>
    <w:p w:rsidR="00B73202" w:rsidRPr="00B73202" w:rsidRDefault="00B73202" w:rsidP="00B73202">
      <w:pPr>
        <w:spacing w:line="259" w:lineRule="auto"/>
        <w:rPr>
          <w:rFonts w:eastAsia="DengXian" w:cs="Times New Roman"/>
          <w:lang w:eastAsia="zh-CN"/>
        </w:rPr>
      </w:pPr>
      <w:r w:rsidRPr="00B73202">
        <w:rPr>
          <w:rFonts w:eastAsia="DengXian" w:cs="Times New Roman"/>
          <w:lang w:eastAsia="zh-CN"/>
        </w:rPr>
        <w:t xml:space="preserve">Researcher, Italian National Institute of Statistics </w:t>
      </w:r>
    </w:p>
    <w:p w:rsidR="00B73202" w:rsidRPr="00B73202" w:rsidRDefault="00B73202" w:rsidP="00B73202">
      <w:pPr>
        <w:spacing w:line="259" w:lineRule="auto"/>
        <w:rPr>
          <w:rFonts w:eastAsia="DengXian" w:cs="Times New Roman"/>
          <w:lang w:eastAsia="zh-CN"/>
        </w:rPr>
      </w:pPr>
      <w:r w:rsidRPr="00B73202">
        <w:rPr>
          <w:rFonts w:eastAsia="DengXian" w:cs="Times New Roman"/>
          <w:b/>
          <w:bCs/>
          <w:lang w:eastAsia="zh-CN"/>
        </w:rPr>
        <w:t>Keywords</w:t>
      </w:r>
      <w:r w:rsidRPr="00B73202">
        <w:rPr>
          <w:rFonts w:eastAsia="DengXian" w:cs="Times New Roman"/>
          <w:lang w:eastAsia="zh-CN"/>
        </w:rPr>
        <w:t>: Sustainable development, Research Methodology, Scale Development, qualitative and quantitative</w:t>
      </w:r>
    </w:p>
    <w:p w:rsidR="00B73202" w:rsidRPr="00B73202" w:rsidRDefault="00B73202" w:rsidP="00B73202">
      <w:pPr>
        <w:rPr>
          <w:rFonts w:eastAsia="DengXian" w:cs="Times New Roman"/>
          <w:lang w:eastAsia="zh-CN"/>
        </w:rPr>
      </w:pPr>
    </w:p>
    <w:p w:rsidR="00B73202" w:rsidRPr="00B73202" w:rsidRDefault="00DF3874" w:rsidP="00B73202">
      <w:pPr>
        <w:rPr>
          <w:rFonts w:eastAsia="DengXian" w:cs="Times New Roman"/>
          <w:b/>
          <w:bCs/>
          <w:lang w:eastAsia="zh-CN"/>
        </w:rPr>
      </w:pPr>
      <w:hyperlink r:id="rId120" w:history="1">
        <w:r w:rsidR="00B73202" w:rsidRPr="00B73202">
          <w:rPr>
            <w:rFonts w:eastAsia="DengXian" w:cs="Times New Roman"/>
            <w:b/>
            <w:bCs/>
            <w:color w:val="0000FF"/>
            <w:u w:val="single"/>
            <w:lang w:eastAsia="zh-CN"/>
          </w:rPr>
          <w:t>Professor Marek Kosny</w:t>
        </w:r>
      </w:hyperlink>
    </w:p>
    <w:p w:rsidR="00B73202" w:rsidRPr="00B73202" w:rsidRDefault="00B73202" w:rsidP="00B73202">
      <w:pPr>
        <w:rPr>
          <w:rFonts w:eastAsia="DengXian" w:cs="Times New Roman"/>
          <w:lang w:eastAsia="zh-CN"/>
        </w:rPr>
      </w:pPr>
      <w:r w:rsidRPr="00B73202">
        <w:rPr>
          <w:rFonts w:eastAsia="DengXian" w:cs="Times New Roman"/>
          <w:lang w:eastAsia="zh-CN"/>
        </w:rPr>
        <w:t>Wroclaw University of Economics</w:t>
      </w:r>
    </w:p>
    <w:p w:rsidR="00B73202" w:rsidRPr="00B73202" w:rsidRDefault="00B73202" w:rsidP="00B73202">
      <w:pPr>
        <w:rPr>
          <w:rFonts w:eastAsia="DengXian" w:cs="Times New Roman"/>
          <w:lang w:eastAsia="zh-CN"/>
        </w:rPr>
      </w:pPr>
      <w:r w:rsidRPr="00B73202">
        <w:rPr>
          <w:rFonts w:eastAsia="DengXian" w:cs="Times New Roman"/>
          <w:b/>
          <w:bCs/>
          <w:lang w:eastAsia="zh-CN"/>
        </w:rPr>
        <w:t>Keywords:</w:t>
      </w:r>
      <w:r w:rsidRPr="00B73202">
        <w:rPr>
          <w:rFonts w:eastAsia="DengXian" w:cs="Times New Roman"/>
          <w:lang w:eastAsia="zh-CN"/>
        </w:rPr>
        <w:t xml:space="preserve"> Income Distribution, Economic Inequality, Economic Security</w:t>
      </w:r>
    </w:p>
    <w:p w:rsidR="00740E1E" w:rsidRPr="00BB5D46" w:rsidRDefault="00740E1E" w:rsidP="00740E1E">
      <w:pPr>
        <w:rPr>
          <w:rFonts w:eastAsia="Calibri" w:cs="Times New Roman"/>
          <w:i/>
          <w:szCs w:val="22"/>
          <w:u w:val="single"/>
        </w:rPr>
      </w:pPr>
    </w:p>
    <w:p w:rsidR="00740E1E" w:rsidRDefault="00740E1E" w:rsidP="00740E1E">
      <w:pPr>
        <w:pStyle w:val="NormalWeb"/>
        <w:rPr>
          <w:rFonts w:ascii="Arial" w:hAnsi="Arial" w:cs="Arial"/>
          <w:b/>
          <w:color w:val="000000"/>
          <w:sz w:val="20"/>
          <w:szCs w:val="20"/>
        </w:rPr>
      </w:pPr>
      <w:r>
        <w:rPr>
          <w:rFonts w:ascii="Arial" w:hAnsi="Arial" w:cs="Arial"/>
          <w:b/>
          <w:color w:val="000000"/>
          <w:sz w:val="20"/>
          <w:szCs w:val="20"/>
        </w:rPr>
        <w:t>-----------------------</w:t>
      </w:r>
    </w:p>
    <w:p w:rsidR="00740E1E" w:rsidRPr="002C296F" w:rsidRDefault="00740E1E" w:rsidP="00740E1E">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fldChar w:fldCharType="begin"/>
      </w:r>
      <w:r w:rsidRPr="00E318B0">
        <w:rPr>
          <w:rFonts w:cs="Times New Roman"/>
          <w:noProof/>
          <w:sz w:val="22"/>
          <w:szCs w:val="22"/>
          <w:lang w:val="en-US"/>
        </w:rPr>
        <w:instrText xml:space="preserve"> ADDIN EN.REFLIST </w:instrText>
      </w:r>
      <w:r w:rsidRPr="00E318B0">
        <w:rPr>
          <w:rFonts w:cs="Times New Roman"/>
          <w:noProof/>
          <w:sz w:val="22"/>
          <w:szCs w:val="22"/>
          <w:lang w:val="en-US"/>
        </w:rPr>
        <w:fldChar w:fldCharType="separate"/>
      </w:r>
      <w:r w:rsidRPr="00E318B0">
        <w:rPr>
          <w:rFonts w:cs="Times New Roman"/>
          <w:noProof/>
          <w:sz w:val="22"/>
          <w:szCs w:val="22"/>
          <w:lang w:val="en-US"/>
        </w:rPr>
        <w:t xml:space="preserve">Browne, M. W. (1992). Circumplex models for correlational matrices. </w:t>
      </w:r>
      <w:r w:rsidRPr="00E318B0">
        <w:rPr>
          <w:rFonts w:cs="Times New Roman"/>
          <w:i/>
          <w:noProof/>
          <w:sz w:val="22"/>
          <w:szCs w:val="22"/>
          <w:lang w:val="en-US"/>
        </w:rPr>
        <w:t>Psychometrika, 57</w:t>
      </w:r>
      <w:r w:rsidRPr="00E318B0">
        <w:rPr>
          <w:rFonts w:cs="Times New Roman"/>
          <w:noProof/>
          <w:sz w:val="22"/>
          <w:szCs w:val="22"/>
          <w:lang w:val="en-US"/>
        </w:rPr>
        <w:t xml:space="preserve">(4), 469–497. </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Capic, T., Li, N., &amp; Cummins, R. A. (2018). Confirmation of Subjective Wellbeing Set-points: Foundational for Subjective Social Indicators. </w:t>
      </w:r>
      <w:r w:rsidRPr="00E318B0">
        <w:rPr>
          <w:rFonts w:cs="Times New Roman"/>
          <w:i/>
          <w:noProof/>
          <w:sz w:val="22"/>
          <w:szCs w:val="22"/>
          <w:lang w:val="en-US"/>
        </w:rPr>
        <w:t>Social Indicators Research, 137</w:t>
      </w:r>
      <w:r w:rsidRPr="00E318B0">
        <w:rPr>
          <w:rFonts w:cs="Times New Roman"/>
          <w:noProof/>
          <w:sz w:val="22"/>
          <w:szCs w:val="22"/>
          <w:lang w:val="en-US"/>
        </w:rPr>
        <w:t xml:space="preserve">(1), 1-28. Retrieved from 10.1007/s11205-017-1585-5. </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Cummins, R. A. (2018c). The Golden Triangle of Happiness: Essential resources for a happy family. </w:t>
      </w:r>
      <w:r w:rsidRPr="00E318B0">
        <w:rPr>
          <w:rFonts w:cs="Times New Roman"/>
          <w:i/>
          <w:noProof/>
          <w:sz w:val="22"/>
          <w:szCs w:val="22"/>
          <w:lang w:val="en-US"/>
        </w:rPr>
        <w:t>International Journal of Child, Youth &amp; Family Studies, 9</w:t>
      </w:r>
      <w:r w:rsidRPr="00E318B0">
        <w:rPr>
          <w:rFonts w:cs="Times New Roman"/>
          <w:noProof/>
          <w:sz w:val="22"/>
          <w:szCs w:val="22"/>
          <w:lang w:val="en-US"/>
        </w:rPr>
        <w:t xml:space="preserve">(4), 12–39. </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Cummins, R. A., Capic, T., Hutchinson, D., Fuller-Tyszkiewicz, M., Olsson, C. A., &amp; Richardson, B. (2018). Why self-report variables inter-correlate: The role of Homeostatically Protected Mood. </w:t>
      </w:r>
      <w:r w:rsidRPr="00E318B0">
        <w:rPr>
          <w:rFonts w:cs="Times New Roman"/>
          <w:i/>
          <w:noProof/>
          <w:sz w:val="22"/>
          <w:szCs w:val="22"/>
          <w:lang w:val="en-US"/>
        </w:rPr>
        <w:t>Journal of Wellbeing Assessment, 2</w:t>
      </w:r>
      <w:r w:rsidRPr="00E318B0">
        <w:rPr>
          <w:rFonts w:cs="Times New Roman"/>
          <w:noProof/>
          <w:sz w:val="22"/>
          <w:szCs w:val="22"/>
          <w:lang w:val="en-US"/>
        </w:rPr>
        <w:t>, 93-114. doi:10.1007/s41543-018-0014-0</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Davern, M., Cummins, R. A., &amp; Stokes, M. (2007). Subjective wellbeing as an affective/cognitive construct. </w:t>
      </w:r>
      <w:r w:rsidRPr="00E318B0">
        <w:rPr>
          <w:rFonts w:cs="Times New Roman"/>
          <w:i/>
          <w:noProof/>
          <w:sz w:val="22"/>
          <w:szCs w:val="22"/>
          <w:lang w:val="en-US"/>
        </w:rPr>
        <w:t>Journal of Happiness Studies, 8</w:t>
      </w:r>
      <w:r w:rsidRPr="00E318B0">
        <w:rPr>
          <w:rFonts w:cs="Times New Roman"/>
          <w:noProof/>
          <w:sz w:val="22"/>
          <w:szCs w:val="22"/>
          <w:lang w:val="en-US"/>
        </w:rPr>
        <w:t>(4), 429-449. doi:10.1007/s10902-007-9066-1</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Ekkekakis, P. (2013). </w:t>
      </w:r>
      <w:r w:rsidRPr="00E318B0">
        <w:rPr>
          <w:rFonts w:cs="Times New Roman"/>
          <w:i/>
          <w:noProof/>
          <w:sz w:val="22"/>
          <w:szCs w:val="22"/>
          <w:lang w:val="en-US"/>
        </w:rPr>
        <w:t>The measurement of affect, mood, and emotion: A guide for health-behavioral research</w:t>
      </w:r>
      <w:r w:rsidRPr="00E318B0">
        <w:rPr>
          <w:rFonts w:cs="Times New Roman"/>
          <w:noProof/>
          <w:sz w:val="22"/>
          <w:szCs w:val="22"/>
          <w:lang w:val="en-US"/>
        </w:rPr>
        <w:t>. Cambridge: Cambridge University Press.</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Espinoza, J. A., Meyer, J. P., Anderson, B. K., Vaters, C., &amp; Politis, C. (2018). Evidence for a bifactor structure of the Scales of Psychological Well-being using exploratory structural equation modeling. </w:t>
      </w:r>
      <w:r w:rsidRPr="00E318B0">
        <w:rPr>
          <w:rFonts w:cs="Times New Roman"/>
          <w:i/>
          <w:noProof/>
          <w:sz w:val="22"/>
          <w:szCs w:val="22"/>
          <w:lang w:val="en-US"/>
        </w:rPr>
        <w:t>Journal of Well-Being Assessment, 2</w:t>
      </w:r>
      <w:r w:rsidRPr="00E318B0">
        <w:rPr>
          <w:rFonts w:cs="Times New Roman"/>
          <w:noProof/>
          <w:sz w:val="22"/>
          <w:szCs w:val="22"/>
          <w:lang w:val="en-US"/>
        </w:rPr>
        <w:t xml:space="preserve">(1), 21-40. </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Fabrigar, L. R., Visser, P. S., &amp; Browne, M. W. (1997). Conceptual and methodological issues in testing the circumplex structure of data in personality and social psychology. </w:t>
      </w:r>
      <w:r w:rsidRPr="00E318B0">
        <w:rPr>
          <w:rFonts w:cs="Times New Roman"/>
          <w:i/>
          <w:noProof/>
          <w:sz w:val="22"/>
          <w:szCs w:val="22"/>
          <w:lang w:val="en-US"/>
        </w:rPr>
        <w:t>Personality and Social Psychology Review, 1</w:t>
      </w:r>
      <w:r w:rsidRPr="00E318B0">
        <w:rPr>
          <w:rFonts w:cs="Times New Roman"/>
          <w:noProof/>
          <w:sz w:val="22"/>
          <w:szCs w:val="22"/>
          <w:lang w:val="en-US"/>
        </w:rPr>
        <w:t xml:space="preserve">, 184–203. </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Huta, V., &amp; Waterman, A. S. (2014). Eudaimonia and its distinction from hedonia: developing a classification and terminology for understanding conceptual and operational definitions. </w:t>
      </w:r>
      <w:r w:rsidRPr="00E318B0">
        <w:rPr>
          <w:rFonts w:cs="Times New Roman"/>
          <w:i/>
          <w:noProof/>
          <w:sz w:val="22"/>
          <w:szCs w:val="22"/>
          <w:lang w:val="en-US"/>
        </w:rPr>
        <w:t>Journal of Happiness Studies, 15</w:t>
      </w:r>
      <w:r w:rsidRPr="00E318B0">
        <w:rPr>
          <w:rFonts w:cs="Times New Roman"/>
          <w:noProof/>
          <w:sz w:val="22"/>
          <w:szCs w:val="22"/>
          <w:lang w:val="en-US"/>
        </w:rPr>
        <w:t>(6), 1425-1456. doi:10.1007/s10902-013-9485-0</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Leader, D. (2007). A dark age for mental health. </w:t>
      </w:r>
      <w:r w:rsidRPr="00E318B0">
        <w:rPr>
          <w:rFonts w:cs="Times New Roman"/>
          <w:i/>
          <w:noProof/>
          <w:sz w:val="22"/>
          <w:szCs w:val="22"/>
          <w:lang w:val="en-US"/>
        </w:rPr>
        <w:t xml:space="preserve">Guardian [online]. Available at: </w:t>
      </w:r>
      <w:hyperlink r:id="rId121" w:history="1">
        <w:r w:rsidRPr="00E318B0">
          <w:rPr>
            <w:rFonts w:cs="Times New Roman"/>
            <w:i/>
            <w:noProof/>
            <w:color w:val="0000FF"/>
            <w:sz w:val="22"/>
            <w:szCs w:val="22"/>
            <w:u w:val="single"/>
            <w:lang w:val="en-US"/>
          </w:rPr>
          <w:t>https://www.theguardian.com/commentisfree/2007/oct/13/comment.publicservices</w:t>
        </w:r>
      </w:hyperlink>
      <w:r w:rsidRPr="00E318B0">
        <w:rPr>
          <w:rFonts w:cs="Times New Roman"/>
          <w:i/>
          <w:noProof/>
          <w:sz w:val="22"/>
          <w:szCs w:val="22"/>
          <w:lang w:val="en-US"/>
        </w:rPr>
        <w:t xml:space="preserve"> [Accessed on 30 Sep 2019]</w:t>
      </w:r>
      <w:r w:rsidRPr="00E318B0">
        <w:rPr>
          <w:rFonts w:cs="Times New Roman"/>
          <w:noProof/>
          <w:sz w:val="22"/>
          <w:szCs w:val="22"/>
          <w:lang w:val="en-US"/>
        </w:rPr>
        <w:t xml:space="preserve">. </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Russell, J. A. (1980). A circumplex model of affect. </w:t>
      </w:r>
      <w:r w:rsidRPr="00E318B0">
        <w:rPr>
          <w:rFonts w:cs="Times New Roman"/>
          <w:i/>
          <w:noProof/>
          <w:sz w:val="22"/>
          <w:szCs w:val="22"/>
          <w:lang w:val="en-US"/>
        </w:rPr>
        <w:t>Journal of Personality and Social Psychology, 39</w:t>
      </w:r>
      <w:r w:rsidRPr="00E318B0">
        <w:rPr>
          <w:rFonts w:cs="Times New Roman"/>
          <w:noProof/>
          <w:sz w:val="22"/>
          <w:szCs w:val="22"/>
          <w:lang w:val="en-US"/>
        </w:rPr>
        <w:t xml:space="preserve">, 1161-1178. </w:t>
      </w:r>
    </w:p>
    <w:p w:rsidR="00E318B0" w:rsidRPr="00E318B0" w:rsidRDefault="00E318B0" w:rsidP="00E318B0">
      <w:pPr>
        <w:ind w:left="720" w:hanging="720"/>
        <w:rPr>
          <w:rFonts w:cs="Times New Roman"/>
          <w:noProof/>
          <w:sz w:val="22"/>
          <w:szCs w:val="22"/>
          <w:lang w:val="en-US"/>
        </w:rPr>
      </w:pPr>
      <w:r w:rsidRPr="00E318B0">
        <w:rPr>
          <w:rFonts w:cs="Times New Roman"/>
          <w:noProof/>
          <w:sz w:val="22"/>
          <w:szCs w:val="22"/>
          <w:lang w:val="en-US"/>
        </w:rPr>
        <w:t xml:space="preserve">Ryan, R. M., &amp; Deci, E. L. (2001). On Happiness and human potentials: A review of research on hedonic and eudaimonic well-being. </w:t>
      </w:r>
      <w:r w:rsidRPr="00E318B0">
        <w:rPr>
          <w:rFonts w:cs="Times New Roman"/>
          <w:i/>
          <w:noProof/>
          <w:sz w:val="22"/>
          <w:szCs w:val="22"/>
          <w:lang w:val="en-US"/>
        </w:rPr>
        <w:t>Annual Review of Psychology, 52</w:t>
      </w:r>
      <w:r w:rsidRPr="00E318B0">
        <w:rPr>
          <w:rFonts w:cs="Times New Roman"/>
          <w:noProof/>
          <w:sz w:val="22"/>
          <w:szCs w:val="22"/>
          <w:lang w:val="en-US"/>
        </w:rPr>
        <w:t xml:space="preserve">, 141-166. </w:t>
      </w:r>
    </w:p>
    <w:p w:rsidR="00740E1E" w:rsidRDefault="00E318B0" w:rsidP="00E318B0">
      <w:pPr>
        <w:rPr>
          <w:rFonts w:eastAsia="Arial" w:cs="Times New Roman"/>
          <w:b/>
          <w:sz w:val="28"/>
          <w:szCs w:val="28"/>
        </w:rPr>
      </w:pPr>
      <w:r w:rsidRPr="00E318B0">
        <w:rPr>
          <w:sz w:val="22"/>
          <w:szCs w:val="22"/>
        </w:rPr>
        <w:fldChar w:fldCharType="end"/>
      </w:r>
    </w:p>
    <w:p w:rsidR="009548EC" w:rsidRPr="00BB5D46" w:rsidRDefault="009548EC" w:rsidP="009548EC">
      <w:pPr>
        <w:rPr>
          <w:rFonts w:eastAsia="Arial" w:cs="Times New Roman"/>
          <w:b/>
          <w:sz w:val="28"/>
          <w:szCs w:val="28"/>
        </w:rPr>
      </w:pPr>
      <w:proofErr w:type="spellStart"/>
      <w:r w:rsidRPr="00411B9B">
        <w:rPr>
          <w:rFonts w:eastAsia="Arial" w:cs="Times New Roman"/>
          <w:b/>
          <w:sz w:val="28"/>
          <w:szCs w:val="28"/>
          <w:highlight w:val="green"/>
        </w:rPr>
        <w:t>ACQol</w:t>
      </w:r>
      <w:proofErr w:type="spellEnd"/>
      <w:r w:rsidRPr="00411B9B">
        <w:rPr>
          <w:rFonts w:eastAsia="Arial" w:cs="Times New Roman"/>
          <w:b/>
          <w:sz w:val="28"/>
          <w:szCs w:val="28"/>
          <w:highlight w:val="green"/>
        </w:rPr>
        <w:t xml:space="preserve"> Bulletin Vol 3/</w:t>
      </w:r>
      <w:r w:rsidR="00740E1E" w:rsidRPr="00411B9B">
        <w:rPr>
          <w:rFonts w:eastAsia="Arial" w:cs="Times New Roman"/>
          <w:b/>
          <w:sz w:val="28"/>
          <w:szCs w:val="28"/>
          <w:highlight w:val="green"/>
        </w:rPr>
        <w:t>35</w:t>
      </w:r>
      <w:r w:rsidRPr="00411B9B">
        <w:rPr>
          <w:rFonts w:eastAsia="Arial" w:cs="Times New Roman"/>
          <w:b/>
          <w:sz w:val="28"/>
          <w:szCs w:val="28"/>
          <w:highlight w:val="green"/>
        </w:rPr>
        <w:t xml:space="preserve">: </w:t>
      </w:r>
      <w:r w:rsidR="00740E1E" w:rsidRPr="00411B9B">
        <w:rPr>
          <w:rFonts w:eastAsia="Arial" w:cs="Times New Roman"/>
          <w:b/>
          <w:sz w:val="28"/>
          <w:szCs w:val="28"/>
          <w:highlight w:val="green"/>
        </w:rPr>
        <w:t>290819</w:t>
      </w:r>
    </w:p>
    <w:p w:rsidR="009548EC" w:rsidRPr="00BB5D46" w:rsidRDefault="009548EC" w:rsidP="009548EC">
      <w:pPr>
        <w:rPr>
          <w:rFonts w:eastAsia="Arial" w:cs="Times New Roman"/>
          <w:b/>
          <w:sz w:val="28"/>
          <w:szCs w:val="28"/>
        </w:rPr>
      </w:pPr>
      <w:r w:rsidRPr="00BB5D46">
        <w:rPr>
          <w:rFonts w:eastAsia="Arial" w:cs="Times New Roman"/>
          <w:b/>
          <w:sz w:val="28"/>
          <w:szCs w:val="28"/>
        </w:rPr>
        <w:t>Bulletin of the Australian Centre on Quality of Life</w:t>
      </w:r>
    </w:p>
    <w:p w:rsidR="009548EC" w:rsidRPr="00BB5D46" w:rsidRDefault="00DF3874" w:rsidP="009548EC">
      <w:pPr>
        <w:rPr>
          <w:rFonts w:eastAsia="Arial" w:cs="Times New Roman"/>
        </w:rPr>
      </w:pPr>
      <w:hyperlink r:id="rId122" w:history="1">
        <w:r w:rsidR="009548EC" w:rsidRPr="00BB5D46">
          <w:rPr>
            <w:rFonts w:eastAsia="Arial" w:cs="Times New Roman"/>
            <w:color w:val="0563C1"/>
            <w:u w:val="single"/>
          </w:rPr>
          <w:t>http://www.acqol.com.au/</w:t>
        </w:r>
      </w:hyperlink>
    </w:p>
    <w:p w:rsidR="009548EC" w:rsidRPr="00AE19B8" w:rsidRDefault="009548EC" w:rsidP="009548EC">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9548EC" w:rsidRPr="00BB5D46" w:rsidRDefault="009548EC" w:rsidP="009548EC">
      <w:pPr>
        <w:rPr>
          <w:rFonts w:eastAsia="Arial" w:cs="Times New Roman"/>
          <w:b/>
        </w:rPr>
      </w:pPr>
      <w:r w:rsidRPr="00BB5D46">
        <w:rPr>
          <w:rFonts w:eastAsia="Arial" w:cs="Times New Roman"/>
          <w:b/>
        </w:rPr>
        <w:t xml:space="preserve">Back-issues of the Bulletin are available at </w:t>
      </w:r>
      <w:hyperlink r:id="rId123" w:anchor="bulletins" w:history="1">
        <w:r w:rsidRPr="00BB5D46">
          <w:rPr>
            <w:rFonts w:eastAsia="Arial" w:cs="Times New Roman"/>
            <w:color w:val="0563C1"/>
            <w:u w:val="single"/>
          </w:rPr>
          <w:t>http://www.acqol.com.au/projects#bulletins</w:t>
        </w:r>
      </w:hyperlink>
    </w:p>
    <w:p w:rsidR="009548EC" w:rsidRPr="00BB5D46" w:rsidRDefault="009548EC" w:rsidP="009548EC">
      <w:pPr>
        <w:rPr>
          <w:rFonts w:eastAsia="Arial" w:cs="Times New Roman"/>
          <w:color w:val="0563C1"/>
          <w:u w:val="single"/>
        </w:rPr>
      </w:pPr>
    </w:p>
    <w:p w:rsidR="009548EC" w:rsidRPr="00BB5D46" w:rsidRDefault="009548EC" w:rsidP="009548EC">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9548EC" w:rsidRDefault="009548EC" w:rsidP="009548EC">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9548EC" w:rsidRDefault="009548EC" w:rsidP="009548EC">
      <w:pPr>
        <w:rPr>
          <w:rFonts w:eastAsia="Arial" w:cs="Times New Roman"/>
        </w:rPr>
      </w:pPr>
    </w:p>
    <w:p w:rsidR="009548EC" w:rsidRPr="00BB5D46" w:rsidRDefault="009548EC" w:rsidP="009548EC">
      <w:pPr>
        <w:jc w:val="center"/>
        <w:rPr>
          <w:rFonts w:eastAsia="Arial" w:cs="Times New Roman"/>
          <w:b/>
          <w:sz w:val="32"/>
          <w:szCs w:val="32"/>
        </w:rPr>
      </w:pPr>
      <w:r w:rsidRPr="00BB5D46">
        <w:rPr>
          <w:rFonts w:eastAsia="Arial" w:cs="Times New Roman"/>
          <w:b/>
          <w:sz w:val="32"/>
          <w:szCs w:val="32"/>
        </w:rPr>
        <w:t>Paper for private study</w:t>
      </w:r>
    </w:p>
    <w:p w:rsidR="009548EC" w:rsidRDefault="009548EC" w:rsidP="009548EC">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9548EC" w:rsidRDefault="009548EC" w:rsidP="009548EC">
      <w:pPr>
        <w:jc w:val="center"/>
        <w:rPr>
          <w:rFonts w:eastAsia="Arial" w:cs="Times New Roman"/>
        </w:rPr>
      </w:pPr>
    </w:p>
    <w:p w:rsidR="00A90F10" w:rsidRPr="00BB5D46" w:rsidRDefault="00A90F10" w:rsidP="00A90F10">
      <w:pPr>
        <w:rPr>
          <w:rFonts w:eastAsia="Arial" w:cs="Times New Roman"/>
          <w:b/>
        </w:rPr>
      </w:pPr>
      <w:r w:rsidRPr="00BB5D46">
        <w:rPr>
          <w:rFonts w:eastAsia="Arial" w:cs="Times New Roman"/>
          <w:b/>
        </w:rPr>
        <w:t>Background:</w:t>
      </w:r>
      <w:r w:rsidRPr="00BB5D46">
        <w:rPr>
          <w:rFonts w:eastAsia="Arial" w:cs="Times New Roman"/>
        </w:rPr>
        <w:t xml:space="preserve"> </w:t>
      </w:r>
    </w:p>
    <w:p w:rsidR="00A90F10" w:rsidRDefault="00A90F10" w:rsidP="00A90F10">
      <w:pPr>
        <w:rPr>
          <w:rFonts w:eastAsia="Arial" w:cs="Times New Roman"/>
          <w:b/>
        </w:rPr>
      </w:pPr>
      <w:r>
        <w:lastRenderedPageBreak/>
        <w:t xml:space="preserve">This paper has been recommended to us by </w:t>
      </w:r>
      <w:r w:rsidRPr="00C23F42">
        <w:t xml:space="preserve">Simon Albrecht </w:t>
      </w:r>
      <w:hyperlink r:id="rId124" w:history="1">
        <w:r w:rsidRPr="009834DB">
          <w:rPr>
            <w:rStyle w:val="Hyperlink"/>
          </w:rPr>
          <w:t>simon.albrecht@deakin.edu.au</w:t>
        </w:r>
      </w:hyperlink>
    </w:p>
    <w:p w:rsidR="00A90F10" w:rsidRDefault="00A90F10" w:rsidP="00A90F10">
      <w:pPr>
        <w:rPr>
          <w:rFonts w:eastAsia="Arial" w:cs="Times New Roman"/>
        </w:rPr>
      </w:pPr>
      <w:r w:rsidRPr="00035494">
        <w:rPr>
          <w:rFonts w:eastAsia="Arial" w:cs="Times New Roman"/>
          <w:b/>
        </w:rPr>
        <w:t>Cummins comments:</w:t>
      </w:r>
      <w:r>
        <w:rPr>
          <w:rFonts w:eastAsia="Arial" w:cs="Times New Roman"/>
        </w:rPr>
        <w:t xml:space="preserve"> An important criterion by which to judge the worthiness of a theory is the extent to which it has predictive value beyond the data used for its formulation. The extension of Subjective Wellbeing (SWB) Homeostasis theory to leadership research could be such an instance. In order to examine this possibility a brief overview of the theory is in order.</w:t>
      </w:r>
    </w:p>
    <w:p w:rsidR="00A90F10" w:rsidRDefault="00A90F10" w:rsidP="00A90F10">
      <w:pPr>
        <w:rPr>
          <w:rFonts w:eastAsia="Arial" w:cs="Times New Roman"/>
        </w:rPr>
      </w:pPr>
    </w:p>
    <w:p w:rsidR="00A90F10" w:rsidRDefault="00A90F10" w:rsidP="00A90F10">
      <w:pPr>
        <w:rPr>
          <w:rFonts w:eastAsia="Arial" w:cs="Times New Roman"/>
        </w:rPr>
      </w:pPr>
      <w:r>
        <w:rPr>
          <w:rFonts w:eastAsia="Arial" w:cs="Times New Roman"/>
        </w:rPr>
        <w:t xml:space="preserve">SWB Homeostasis Theory proposes that a homeostatic system defends our normal state of feeling mildly good about ourselves </w:t>
      </w:r>
      <w:r>
        <w:rPr>
          <w:rFonts w:eastAsia="Arial" w:cs="Times New Roman"/>
        </w:rPr>
        <w:fldChar w:fldCharType="begin"/>
      </w:r>
      <w:r>
        <w:rPr>
          <w:rFonts w:eastAsia="Arial" w:cs="Times New Roman"/>
        </w:rPr>
        <w:instrText xml:space="preserve"> ADDIN EN.CITE &lt;EndNote&gt;&lt;Cite&gt;&lt;Author&gt;Cummins&lt;/Author&gt;&lt;Year&gt;2017a&lt;/Year&gt;&lt;RecNum&gt;2946&lt;/RecNum&gt;&lt;DisplayText&gt;(Cummins, 2017a)&lt;/DisplayText&gt;&lt;record&gt;&lt;rec-number&gt;2946&lt;/rec-number&gt;&lt;foreign-keys&gt;&lt;key app="EN" db-id="z2xarpe9cfrvp4ezdxk5ddx9dsrzr05f22sa" timestamp="1491111749"&gt;2946&lt;/key&gt;&lt;/foreign-keys&gt;&lt;ref-type name="Electronic Book"&gt;44&lt;/ref-type&gt;&lt;contributors&gt;&lt;authors&gt;&lt;author&gt;Cummins, R. A.&lt;/author&gt;&lt;/authors&gt;&lt;secondary-authors&gt;&lt;author&gt;Dunn, D. S.&lt;/author&gt;&lt;/secondary-authors&gt;&lt;/contributors&gt;&lt;titles&gt;&lt;title&gt;Subjective Wellbeing Homeostasis - Second edition&lt;/title&gt;&lt;secondary-title&gt;Oxford Bibliographies Online&lt;/secondary-title&gt;&lt;/titles&gt;&lt;dates&gt;&lt;year&gt;2017a&lt;/year&gt;&lt;pub-dates&gt;&lt;date&gt;10 April 2018&lt;/date&gt;&lt;/pub-dates&gt;&lt;/dates&gt;&lt;pub-location&gt;New York &lt;/pub-location&gt;&lt;publisher&gt;Oxford University Press&lt;/publisher&gt;&lt;urls&gt;&lt;related-urls&gt;&lt;url&gt;http://www.oxfordbibliographies.com/view/document/obo-9780199828340/obo-9780199828340-0167.xml&lt;/url&gt;&lt;/related-urls&gt;&lt;/urls&gt;&lt;/record&gt;&lt;/Cite&gt;&lt;/EndNote&gt;</w:instrText>
      </w:r>
      <w:r>
        <w:rPr>
          <w:rFonts w:eastAsia="Arial" w:cs="Times New Roman"/>
        </w:rPr>
        <w:fldChar w:fldCharType="separate"/>
      </w:r>
      <w:r>
        <w:rPr>
          <w:rFonts w:eastAsia="Arial" w:cs="Times New Roman"/>
          <w:noProof/>
        </w:rPr>
        <w:t>(Cummins, 2017a)</w:t>
      </w:r>
      <w:r>
        <w:rPr>
          <w:rFonts w:eastAsia="Arial" w:cs="Times New Roman"/>
        </w:rPr>
        <w:fldChar w:fldCharType="end"/>
      </w:r>
      <w:r>
        <w:rPr>
          <w:rFonts w:eastAsia="Arial" w:cs="Times New Roman"/>
        </w:rPr>
        <w:t xml:space="preserve">. The heart of this system is a genetically-determined </w:t>
      </w:r>
      <w:proofErr w:type="spellStart"/>
      <w:r>
        <w:rPr>
          <w:rFonts w:eastAsia="Arial" w:cs="Times New Roman"/>
        </w:rPr>
        <w:t>setpoint</w:t>
      </w:r>
      <w:proofErr w:type="spellEnd"/>
      <w:r>
        <w:rPr>
          <w:rFonts w:eastAsia="Arial" w:cs="Times New Roman"/>
        </w:rPr>
        <w:t xml:space="preserve">, not for SWB but for its major component, called Homeostatically Protected Mood (HPMood). This mood comprises three affects (content, happy, alert), it has a set-level for each person, and does not change over time. Within a population sample, such </w:t>
      </w:r>
      <w:proofErr w:type="spellStart"/>
      <w:r>
        <w:rPr>
          <w:rFonts w:eastAsia="Arial" w:cs="Times New Roman"/>
        </w:rPr>
        <w:t>setpoints</w:t>
      </w:r>
      <w:proofErr w:type="spellEnd"/>
      <w:r>
        <w:rPr>
          <w:rFonts w:eastAsia="Arial" w:cs="Times New Roman"/>
        </w:rPr>
        <w:t xml:space="preserve"> are distributed </w:t>
      </w:r>
      <w:r w:rsidR="00050F70">
        <w:rPr>
          <w:rFonts w:eastAsia="Arial" w:cs="Times New Roman"/>
        </w:rPr>
        <w:t>normally</w:t>
      </w:r>
      <w:r>
        <w:rPr>
          <w:rFonts w:eastAsia="Arial" w:cs="Times New Roman"/>
        </w:rPr>
        <w:t xml:space="preserve"> within the range of 70 to 90 percentage points (pp) on a 0-100pp scale </w:t>
      </w:r>
      <w:r>
        <w:rPr>
          <w:rFonts w:eastAsia="Arial" w:cs="Times New Roman"/>
        </w:rPr>
        <w:fldChar w:fldCharType="begin"/>
      </w:r>
      <w:r w:rsidR="00E318B0">
        <w:rPr>
          <w:rFonts w:eastAsia="Arial" w:cs="Times New Roman"/>
        </w:rPr>
        <w:instrText xml:space="preserve"> ADDIN EN.CITE &lt;EndNote&gt;&lt;Cite&gt;&lt;Author&gt;Capic&lt;/Author&gt;&lt;Year&gt;2018&lt;/Year&gt;&lt;RecNum&gt;3195&lt;/RecNum&gt;&lt;DisplayText&gt;(Capic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Pr>
          <w:rFonts w:eastAsia="Arial" w:cs="Times New Roman"/>
        </w:rPr>
        <w:fldChar w:fldCharType="separate"/>
      </w:r>
      <w:r w:rsidR="00E318B0">
        <w:rPr>
          <w:rFonts w:eastAsia="Arial" w:cs="Times New Roman"/>
          <w:noProof/>
        </w:rPr>
        <w:t>(Capic et al., 2018)</w:t>
      </w:r>
      <w:r>
        <w:rPr>
          <w:rFonts w:eastAsia="Arial" w:cs="Times New Roman"/>
        </w:rPr>
        <w:fldChar w:fldCharType="end"/>
      </w:r>
      <w:r>
        <w:rPr>
          <w:rFonts w:eastAsia="Arial" w:cs="Times New Roman"/>
        </w:rPr>
        <w:t xml:space="preserve">. SWB is an amalgam of HPMood and emotion, with the latter representing the affective response to ideas and </w:t>
      </w:r>
      <w:proofErr w:type="spellStart"/>
      <w:r>
        <w:rPr>
          <w:rFonts w:eastAsia="Arial" w:cs="Times New Roman"/>
        </w:rPr>
        <w:t>percepts</w:t>
      </w:r>
      <w:proofErr w:type="spellEnd"/>
      <w:r>
        <w:rPr>
          <w:rFonts w:eastAsia="Arial" w:cs="Times New Roman"/>
        </w:rPr>
        <w:t xml:space="preserve">. Emotion is usually stronger than HPMood, which allows our attention to be drawn to its source. However, the homeostatic system has the role of attempting to return the level of SWB to </w:t>
      </w:r>
      <w:proofErr w:type="spellStart"/>
      <w:r>
        <w:rPr>
          <w:rFonts w:eastAsia="Arial" w:cs="Times New Roman"/>
        </w:rPr>
        <w:t>setpoint</w:t>
      </w:r>
      <w:proofErr w:type="spellEnd"/>
      <w:r>
        <w:rPr>
          <w:rFonts w:eastAsia="Arial" w:cs="Times New Roman"/>
        </w:rPr>
        <w:t xml:space="preserve">. Thus, measured SWB tends to oscillate around its </w:t>
      </w:r>
      <w:proofErr w:type="spellStart"/>
      <w:r>
        <w:rPr>
          <w:rFonts w:eastAsia="Arial" w:cs="Times New Roman"/>
        </w:rPr>
        <w:t>setpoint</w:t>
      </w:r>
      <w:proofErr w:type="spellEnd"/>
      <w:r>
        <w:rPr>
          <w:rFonts w:eastAsia="Arial" w:cs="Times New Roman"/>
        </w:rPr>
        <w:t xml:space="preserve"> level for each person </w:t>
      </w:r>
      <w:r>
        <w:rPr>
          <w:rFonts w:eastAsia="Arial" w:cs="Times New Roman"/>
        </w:rPr>
        <w:fldChar w:fldCharType="begin"/>
      </w:r>
      <w:r>
        <w:rPr>
          <w:rFonts w:eastAsia="Arial" w:cs="Times New Roman"/>
        </w:rPr>
        <w:instrText xml:space="preserve"> ADDIN EN.CITE &lt;EndNote&gt;&lt;Cite&gt;&lt;Author&gt;Anglim&lt;/Author&gt;&lt;Year&gt;2015&lt;/Year&gt;&lt;RecNum&gt;2262&lt;/RecNum&gt;&lt;DisplayText&gt;(Anglim, Weinberg, &amp;amp; Cummins, 2015)&lt;/DisplayText&gt;&lt;record&gt;&lt;rec-number&gt;2262&lt;/rec-number&gt;&lt;foreign-keys&gt;&lt;key app="EN" db-id="z2xarpe9cfrvp4ezdxk5ddx9dsrzr05f22sa" timestamp="1447908722"&gt;2262&lt;/key&gt;&lt;/foreign-keys&gt;&lt;ref-type name="Journal Article"&gt;17&lt;/ref-type&gt;&lt;contributors&gt;&lt;authors&gt;&lt;author&gt;Anglim, J.&lt;/author&gt;&lt;author&gt;Weinberg, Melissa K&lt;/author&gt;&lt;author&gt;Cummins, Robert A&lt;/author&gt;&lt;/authors&gt;&lt;/contributors&gt;&lt;titles&gt;&lt;title&gt;Bayesian hierarchical modeling of the temporal dynamics of subjective well-being: A 10 year longitudinal analysis&lt;/title&gt;&lt;secondary-title&gt;Journal of Research in Personality&lt;/secondary-title&gt;&lt;/titles&gt;&lt;periodical&gt;&lt;full-title&gt;Journal of Research in Personality&lt;/full-title&gt;&lt;/periodical&gt;&lt;pages&gt;1-14&lt;/pages&gt;&lt;volume&gt;59&lt;/volume&gt;&lt;number&gt;3&lt;/number&gt;&lt;dates&gt;&lt;year&gt;2015&lt;/year&gt;&lt;/dates&gt;&lt;isbn&gt;0092-6566&lt;/isbn&gt;&lt;urls&gt;&lt;/urls&gt;&lt;electronic-resource-num&gt;10.1016/j.jrp.2015.08.003&lt;/electronic-resource-num&gt;&lt;/record&gt;&lt;/Cite&gt;&lt;/EndNote&gt;</w:instrText>
      </w:r>
      <w:r>
        <w:rPr>
          <w:rFonts w:eastAsia="Arial" w:cs="Times New Roman"/>
        </w:rPr>
        <w:fldChar w:fldCharType="separate"/>
      </w:r>
      <w:r>
        <w:rPr>
          <w:rFonts w:eastAsia="Arial" w:cs="Times New Roman"/>
          <w:noProof/>
        </w:rPr>
        <w:t>(Anglim, Weinberg, &amp; Cummins, 2015)</w:t>
      </w:r>
      <w:r>
        <w:rPr>
          <w:rFonts w:eastAsia="Arial" w:cs="Times New Roman"/>
        </w:rPr>
        <w:fldChar w:fldCharType="end"/>
      </w:r>
      <w:r>
        <w:rPr>
          <w:rFonts w:eastAsia="Arial" w:cs="Times New Roman"/>
        </w:rPr>
        <w:t xml:space="preserve">. Note, however, this does not represent a change in HPMood, it is the changing emotion which causes </w:t>
      </w:r>
      <w:r w:rsidR="00050F70">
        <w:rPr>
          <w:rFonts w:eastAsia="Arial" w:cs="Times New Roman"/>
        </w:rPr>
        <w:t xml:space="preserve">the level of </w:t>
      </w:r>
      <w:r>
        <w:rPr>
          <w:rFonts w:eastAsia="Arial" w:cs="Times New Roman"/>
        </w:rPr>
        <w:t>SWB to differ over time.</w:t>
      </w:r>
    </w:p>
    <w:p w:rsidR="00A90F10" w:rsidRDefault="00A90F10" w:rsidP="00A90F10">
      <w:pPr>
        <w:rPr>
          <w:rFonts w:eastAsia="Arial" w:cs="Times New Roman"/>
        </w:rPr>
      </w:pPr>
    </w:p>
    <w:p w:rsidR="00A90F10" w:rsidRPr="0021043E" w:rsidRDefault="00A90F10" w:rsidP="00A90F10">
      <w:pPr>
        <w:rPr>
          <w:rFonts w:eastAsia="Arial" w:cs="Times New Roman"/>
        </w:rPr>
      </w:pPr>
      <w:r>
        <w:rPr>
          <w:rFonts w:eastAsia="Arial" w:cs="Times New Roman"/>
        </w:rPr>
        <w:t>These oscillations in SWB experienced by each person normally occur within a range of about</w:t>
      </w:r>
      <w:r w:rsidRPr="0021043E">
        <w:rPr>
          <w:rFonts w:eastAsia="Arial" w:cs="Times New Roman"/>
        </w:rPr>
        <w:t xml:space="preserve"> 8.25</w:t>
      </w:r>
      <w:r>
        <w:rPr>
          <w:rFonts w:eastAsia="Arial" w:cs="Times New Roman"/>
        </w:rPr>
        <w:t>pp</w:t>
      </w:r>
      <w:r w:rsidRPr="0021043E">
        <w:rPr>
          <w:rFonts w:eastAsia="Arial" w:cs="Times New Roman"/>
        </w:rPr>
        <w:t xml:space="preserve"> on either side of </w:t>
      </w:r>
      <w:r>
        <w:rPr>
          <w:rFonts w:eastAsia="Arial" w:cs="Times New Roman"/>
        </w:rPr>
        <w:t>their</w:t>
      </w:r>
      <w:r w:rsidRPr="0021043E">
        <w:rPr>
          <w:rFonts w:eastAsia="Arial" w:cs="Times New Roman"/>
        </w:rPr>
        <w:t xml:space="preserve"> </w:t>
      </w:r>
      <w:proofErr w:type="spellStart"/>
      <w:r w:rsidRPr="0021043E">
        <w:rPr>
          <w:rFonts w:eastAsia="Arial" w:cs="Times New Roman"/>
        </w:rPr>
        <w:t>setpoint</w:t>
      </w:r>
      <w:proofErr w:type="spellEnd"/>
      <w:r>
        <w:rPr>
          <w:rFonts w:eastAsia="Arial" w:cs="Times New Roman"/>
        </w:rPr>
        <w:t xml:space="preserve"> </w:t>
      </w:r>
      <w:r>
        <w:rPr>
          <w:rFonts w:eastAsia="Arial" w:cs="Times New Roman"/>
        </w:rPr>
        <w:fldChar w:fldCharType="begin"/>
      </w:r>
      <w:r>
        <w:rPr>
          <w:rFonts w:eastAsia="Arial" w:cs="Times New Roman"/>
        </w:rPr>
        <w:instrText xml:space="preserve"> ADDIN EN.CITE &lt;EndNote&gt;&lt;Cite&gt;&lt;Author&gt;Capic&lt;/Author&gt;&lt;Year&gt;2018&lt;/Year&gt;&lt;RecNum&gt;3195&lt;/RecNum&gt;&lt;DisplayText&gt;(Capic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Pr>
          <w:rFonts w:eastAsia="Arial" w:cs="Times New Roman"/>
        </w:rPr>
        <w:fldChar w:fldCharType="separate"/>
      </w:r>
      <w:r>
        <w:rPr>
          <w:rFonts w:eastAsia="Arial" w:cs="Times New Roman"/>
          <w:noProof/>
        </w:rPr>
        <w:t>(Capic et al., 2018)</w:t>
      </w:r>
      <w:r>
        <w:rPr>
          <w:rFonts w:eastAsia="Arial" w:cs="Times New Roman"/>
        </w:rPr>
        <w:fldChar w:fldCharType="end"/>
      </w:r>
      <w:r w:rsidRPr="0021043E">
        <w:rPr>
          <w:rFonts w:eastAsia="Arial" w:cs="Times New Roman"/>
        </w:rPr>
        <w:t xml:space="preserve">. </w:t>
      </w:r>
      <w:r>
        <w:rPr>
          <w:rFonts w:eastAsia="Arial" w:cs="Times New Roman"/>
        </w:rPr>
        <w:t xml:space="preserve">However, a strong emotion will take measured SWB beyond </w:t>
      </w:r>
      <w:r w:rsidR="00050F70">
        <w:rPr>
          <w:rFonts w:eastAsia="Arial" w:cs="Times New Roman"/>
        </w:rPr>
        <w:t>this</w:t>
      </w:r>
      <w:r>
        <w:rPr>
          <w:rFonts w:eastAsia="Arial" w:cs="Times New Roman"/>
        </w:rPr>
        <w:t xml:space="preserve"> range. Then, the capacity of homeostasis to return SWB to its </w:t>
      </w:r>
      <w:proofErr w:type="spellStart"/>
      <w:r w:rsidR="00050F70">
        <w:rPr>
          <w:rFonts w:eastAsia="Arial" w:cs="Times New Roman"/>
        </w:rPr>
        <w:t>sepoint</w:t>
      </w:r>
      <w:proofErr w:type="spellEnd"/>
      <w:r>
        <w:rPr>
          <w:rFonts w:eastAsia="Arial" w:cs="Times New Roman"/>
        </w:rPr>
        <w:t xml:space="preserve"> range depends on the balance between the strength of the emotional challenge and the capacity of the system restore normality. The resources to achieve this return have been described elsewhere </w:t>
      </w:r>
      <w:r>
        <w:rPr>
          <w:rFonts w:eastAsia="Arial" w:cs="Times New Roman"/>
        </w:rPr>
        <w:fldChar w:fldCharType="begin"/>
      </w:r>
      <w:r>
        <w:rPr>
          <w:rFonts w:eastAsia="Arial" w:cs="Times New Roman"/>
        </w:rPr>
        <w:instrText xml:space="preserve"> ADDIN EN.CITE &lt;EndNote&gt;&lt;Cite&gt;&lt;Author&gt;Cummins&lt;/Author&gt;&lt;Year&gt;2018c&lt;/Year&gt;&lt;RecNum&gt;3143&lt;/RecNum&gt;&lt;DisplayText&gt;(Cummins, 2018c; Cummins &amp;amp; Nistico, 2002)&lt;/DisplayText&gt;&lt;record&gt;&lt;rec-number&gt;3143&lt;/rec-number&gt;&lt;foreign-keys&gt;&lt;key app="EN" db-id="z2xarpe9cfrvp4ezdxk5ddx9dsrzr05f22sa" timestamp="1498726772"&gt;3143&lt;/key&gt;&lt;/foreign-keys&gt;&lt;ref-type name="Journal Article"&gt;17&lt;/ref-type&gt;&lt;contributors&gt;&lt;authors&gt;&lt;author&gt;Cummins, R. A.&lt;/author&gt;&lt;/authors&gt;&lt;/contributors&gt;&lt;titles&gt;&lt;title&gt;The Golden Triangle of Happiness: Essential resources for a happy family&lt;/title&gt;&lt;secondary-title&gt;International Journal of Child, Youth &amp;amp; Family Studies&lt;/secondary-title&gt;&lt;/titles&gt;&lt;periodical&gt;&lt;full-title&gt;International Journal of Child, Youth &amp;amp; Family Studies&lt;/full-title&gt;&lt;/periodical&gt;&lt;pages&gt;12–39&lt;/pages&gt;&lt;volume&gt;9&lt;/volume&gt;&lt;number&gt;4&lt;/number&gt;&lt;dates&gt;&lt;year&gt;2018c&lt;/year&gt;&lt;/dates&gt;&lt;urls&gt;&lt;/urls&gt;&lt;/record&gt;&lt;/Cite&gt;&lt;Cite&gt;&lt;Author&gt;Cummins&lt;/Author&gt;&lt;Year&gt;2002&lt;/Year&gt;&lt;RecNum&gt;629&lt;/RecNum&gt;&lt;record&gt;&lt;rec-number&gt;629&lt;/rec-number&gt;&lt;foreign-keys&gt;&lt;key app="EN" db-id="z2xarpe9cfrvp4ezdxk5ddx9dsrzr05f22sa" timestamp="1343947789"&gt;629&lt;/key&gt;&lt;/foreign-keys&gt;&lt;ref-type name="Journal Article"&gt;17&lt;/ref-type&gt;&lt;contributors&gt;&lt;authors&gt;&lt;author&gt;Cummins, R. A.&lt;/author&gt;&lt;author&gt;Nistico, H.&lt;/author&gt;&lt;/authors&gt;&lt;/contributors&gt;&lt;titles&gt;&lt;title&gt;Maintaining life satisfaction: The role of positive cognitive bias&lt;/title&gt;&lt;secondary-title&gt;Journal of Happiness Studies&lt;/secondary-title&gt;&lt;/titles&gt;&lt;periodical&gt;&lt;full-title&gt;Journal of Happiness Studies&lt;/full-title&gt;&lt;/periodical&gt;&lt;pages&gt;37-69&lt;/pages&gt;&lt;volume&gt;3&lt;/volume&gt;&lt;number&gt;1&lt;/number&gt;&lt;dates&gt;&lt;year&gt;2002&lt;/year&gt;&lt;/dates&gt;&lt;urls&gt;&lt;/urls&gt;&lt;/record&gt;&lt;/Cite&gt;&lt;/EndNote&gt;</w:instrText>
      </w:r>
      <w:r>
        <w:rPr>
          <w:rFonts w:eastAsia="Arial" w:cs="Times New Roman"/>
        </w:rPr>
        <w:fldChar w:fldCharType="separate"/>
      </w:r>
      <w:r>
        <w:rPr>
          <w:rFonts w:eastAsia="Arial" w:cs="Times New Roman"/>
          <w:noProof/>
        </w:rPr>
        <w:t>(Cummins, 2018c; Cummins &amp; Nistico, 2002)</w:t>
      </w:r>
      <w:r>
        <w:rPr>
          <w:rFonts w:eastAsia="Arial" w:cs="Times New Roman"/>
        </w:rPr>
        <w:fldChar w:fldCharType="end"/>
      </w:r>
      <w:r>
        <w:rPr>
          <w:rFonts w:eastAsia="Arial" w:cs="Times New Roman"/>
        </w:rPr>
        <w:t>.</w:t>
      </w:r>
    </w:p>
    <w:p w:rsidR="00A90F10" w:rsidRPr="00C23F42" w:rsidRDefault="00A90F10" w:rsidP="00A90F10">
      <w:pPr>
        <w:rPr>
          <w:rFonts w:eastAsia="Arial" w:cs="Times New Roman"/>
        </w:rPr>
      </w:pPr>
    </w:p>
    <w:p w:rsidR="00A90F10" w:rsidRDefault="00A90F10" w:rsidP="00A90F10">
      <w:pPr>
        <w:rPr>
          <w:rFonts w:eastAsia="Arial" w:cs="Times New Roman"/>
        </w:rPr>
      </w:pPr>
      <w:r>
        <w:rPr>
          <w:rFonts w:eastAsia="Arial" w:cs="Times New Roman"/>
        </w:rPr>
        <w:t xml:space="preserve">A proposition based in homeostasis theory, is that evolution has set 80pp as the level of positivity to be the most generally adaptive for human functioning. This level is represented by the mean of the normal population distribution of HPMood, as 80pp. And this brings homeostasis theory, and the broad area </w:t>
      </w:r>
      <w:r>
        <w:rPr>
          <w:rFonts w:eastAsia="Arial" w:cs="Times New Roman"/>
        </w:rPr>
        <w:fldChar w:fldCharType="begin"/>
      </w:r>
      <w:r>
        <w:rPr>
          <w:rFonts w:eastAsia="Arial" w:cs="Times New Roman"/>
        </w:rPr>
        <w:instrText xml:space="preserve"> ADDIN EN.CITE &lt;EndNote&gt;&lt;Cite AuthorYear="1"&gt;&lt;Author&gt;Alvesson&lt;/Author&gt;&lt;Year&gt;2019&lt;/Year&gt;&lt;RecNum&gt;3896&lt;/RecNum&gt;&lt;DisplayText&gt;Alvesson and Einola (2019)&lt;/DisplayText&gt;&lt;record&gt;&lt;rec-number&gt;3896&lt;/rec-number&gt;&lt;foreign-keys&gt;&lt;key app="EN" db-id="z2xarpe9cfrvp4ezdxk5ddx9dsrzr05f22sa" timestamp="1565240032"&gt;3896&lt;/key&gt;&lt;/foreign-keys&gt;&lt;ref-type name="Journal Article"&gt;17&lt;/ref-type&gt;&lt;contributors&gt;&lt;authors&gt;&lt;author&gt;Alvesson, M.&lt;/author&gt;&lt;author&gt;Einola, Katja&lt;/author&gt;&lt;/authors&gt;&lt;/contributors&gt;&lt;titles&gt;&lt;title&gt;Warning for excessive positivity: Authentic leadership and other traps in leadership studies&lt;/title&gt;&lt;secondary-title&gt;The Leadership Quarterly&lt;/secondary-title&gt;&lt;/titles&gt;&lt;periodical&gt;&lt;full-title&gt;The Leadership Quarterly&lt;/full-title&gt;&lt;/periodical&gt;&lt;pages&gt;383-395&lt;/pages&gt;&lt;volume&gt;30&lt;/volume&gt;&lt;dates&gt;&lt;year&gt;2019&lt;/year&gt;&lt;/dates&gt;&lt;isbn&gt;1048-9843&lt;/isbn&gt;&lt;urls&gt;&lt;/urls&gt;&lt;/record&gt;&lt;/Cite&gt;&lt;/EndNote&gt;</w:instrText>
      </w:r>
      <w:r>
        <w:rPr>
          <w:rFonts w:eastAsia="Arial" w:cs="Times New Roman"/>
        </w:rPr>
        <w:fldChar w:fldCharType="separate"/>
      </w:r>
      <w:r>
        <w:rPr>
          <w:rFonts w:eastAsia="Arial" w:cs="Times New Roman"/>
          <w:noProof/>
        </w:rPr>
        <w:t>Alvesson and Einola (2019)</w:t>
      </w:r>
      <w:r>
        <w:rPr>
          <w:rFonts w:eastAsia="Arial" w:cs="Times New Roman"/>
        </w:rPr>
        <w:fldChar w:fldCharType="end"/>
      </w:r>
      <w:r>
        <w:rPr>
          <w:rFonts w:eastAsia="Arial" w:cs="Times New Roman"/>
        </w:rPr>
        <w:t xml:space="preserve"> refer to as </w:t>
      </w:r>
      <w:r w:rsidRPr="00C2346D">
        <w:rPr>
          <w:rFonts w:eastAsia="Arial" w:cs="Times New Roman"/>
        </w:rPr>
        <w:t>‘positive scholarship’</w:t>
      </w:r>
      <w:r>
        <w:rPr>
          <w:rFonts w:eastAsia="Arial" w:cs="Times New Roman"/>
        </w:rPr>
        <w:t xml:space="preserve">, into conflict. </w:t>
      </w:r>
    </w:p>
    <w:p w:rsidR="00A90F10" w:rsidRDefault="00A90F10" w:rsidP="00A90F10">
      <w:pPr>
        <w:rPr>
          <w:rFonts w:eastAsia="Arial" w:cs="Times New Roman"/>
        </w:rPr>
      </w:pPr>
    </w:p>
    <w:p w:rsidR="00A90F10" w:rsidRDefault="00A90F10" w:rsidP="00A90F10">
      <w:pPr>
        <w:rPr>
          <w:rFonts w:eastAsia="Arial" w:cs="Times New Roman"/>
        </w:rPr>
      </w:pPr>
      <w:r>
        <w:rPr>
          <w:rFonts w:eastAsia="Arial" w:cs="Times New Roman"/>
        </w:rPr>
        <w:t xml:space="preserve">Positive Scholarship is an umbrella-term. Within leadership studies the inclusive term </w:t>
      </w:r>
      <w:r w:rsidRPr="00C2346D">
        <w:rPr>
          <w:rFonts w:eastAsia="Arial" w:cs="Times New Roman"/>
        </w:rPr>
        <w:t>‘positive leadership’</w:t>
      </w:r>
      <w:r>
        <w:rPr>
          <w:rFonts w:eastAsia="Arial" w:cs="Times New Roman"/>
        </w:rPr>
        <w:t xml:space="preserve"> subsumes such well-known specific theories as </w:t>
      </w:r>
      <w:r w:rsidRPr="00C2346D">
        <w:rPr>
          <w:rFonts w:eastAsia="Arial" w:cs="Times New Roman"/>
        </w:rPr>
        <w:t>‘authentic leadership’</w:t>
      </w:r>
      <w:r>
        <w:rPr>
          <w:rFonts w:eastAsia="Arial" w:cs="Times New Roman"/>
        </w:rPr>
        <w:fldChar w:fldCharType="begin"/>
      </w:r>
      <w:r>
        <w:rPr>
          <w:rFonts w:eastAsia="Arial" w:cs="Times New Roman"/>
        </w:rPr>
        <w:instrText xml:space="preserve"> ADDIN EN.CITE &lt;EndNote&gt;&lt;Cite&gt;&lt;Author&gt;Avolio&lt;/Author&gt;&lt;Year&gt;2005&lt;/Year&gt;&lt;RecNum&gt;3912&lt;/RecNum&gt;&lt;DisplayText&gt;(Avolio &amp;amp; Gardner, 2005)&lt;/DisplayText&gt;&lt;record&gt;&lt;rec-number&gt;3912&lt;/rec-number&gt;&lt;foreign-keys&gt;&lt;key app="EN" db-id="z2xarpe9cfrvp4ezdxk5ddx9dsrzr05f22sa" timestamp="1566802568"&gt;3912&lt;/key&gt;&lt;/foreign-keys&gt;&lt;ref-type name="Journal Article"&gt;17&lt;/ref-type&gt;&lt;contributors&gt;&lt;authors&gt;&lt;author&gt;Avolio, B. J.&lt;/author&gt;&lt;author&gt;Gardner, William L&lt;/author&gt;&lt;/authors&gt;&lt;/contributors&gt;&lt;titles&gt;&lt;title&gt;Authentic leadership development: Getting to the root of positive forms of leadership&lt;/title&gt;&lt;secondary-title&gt;The leadership quarterly&lt;/secondary-title&gt;&lt;/titles&gt;&lt;periodical&gt;&lt;full-title&gt;The Leadership Quarterly&lt;/full-title&gt;&lt;/periodical&gt;&lt;pages&gt;315-338&lt;/pages&gt;&lt;volume&gt;16&lt;/volume&gt;&lt;number&gt;3&lt;/number&gt;&lt;dates&gt;&lt;year&gt;2005&lt;/year&gt;&lt;/dates&gt;&lt;isbn&gt;1048-9843&lt;/isbn&gt;&lt;urls&gt;&lt;/urls&gt;&lt;/record&gt;&lt;/Cite&gt;&lt;/EndNote&gt;</w:instrText>
      </w:r>
      <w:r>
        <w:rPr>
          <w:rFonts w:eastAsia="Arial" w:cs="Times New Roman"/>
        </w:rPr>
        <w:fldChar w:fldCharType="separate"/>
      </w:r>
      <w:r>
        <w:rPr>
          <w:rFonts w:eastAsia="Arial" w:cs="Times New Roman"/>
          <w:noProof/>
        </w:rPr>
        <w:t>(Avolio &amp; Gardner, 2005)</w:t>
      </w:r>
      <w:r>
        <w:rPr>
          <w:rFonts w:eastAsia="Arial" w:cs="Times New Roman"/>
        </w:rPr>
        <w:fldChar w:fldCharType="end"/>
      </w:r>
      <w:r>
        <w:rPr>
          <w:rFonts w:eastAsia="Arial" w:cs="Times New Roman"/>
        </w:rPr>
        <w:t xml:space="preserve">. Within psychology, ‘positive scholarship’ is represented by </w:t>
      </w:r>
      <w:r w:rsidRPr="00C2346D">
        <w:rPr>
          <w:rFonts w:eastAsia="Arial" w:cs="Times New Roman"/>
        </w:rPr>
        <w:t xml:space="preserve">‘positive psychology’. </w:t>
      </w:r>
      <w:r>
        <w:rPr>
          <w:rFonts w:eastAsia="Arial" w:cs="Times New Roman"/>
        </w:rPr>
        <w:t xml:space="preserve">Homeostasis theory offers a challenge to all positive scholarship theories. Whereas homeostasis theory proposes that the optimal normal population level of positivity is 80pp, </w:t>
      </w:r>
      <w:r w:rsidRPr="00286EC9">
        <w:rPr>
          <w:rFonts w:eastAsia="Arial" w:cs="Times New Roman"/>
        </w:rPr>
        <w:t xml:space="preserve">positive scholarship theories </w:t>
      </w:r>
      <w:r>
        <w:rPr>
          <w:rFonts w:eastAsia="Arial" w:cs="Times New Roman"/>
        </w:rPr>
        <w:t xml:space="preserve">propose that a higher-than-normal level of general positivity is required for optimal performance either as a ‘leader’ or as an ‘optimally functioning person’. </w:t>
      </w:r>
    </w:p>
    <w:p w:rsidR="00A90F10" w:rsidRDefault="00A90F10" w:rsidP="00A90F10">
      <w:pPr>
        <w:rPr>
          <w:rFonts w:eastAsia="Arial" w:cs="Times New Roman"/>
          <w:b/>
        </w:rPr>
      </w:pPr>
    </w:p>
    <w:p w:rsidR="00A90F10" w:rsidRDefault="00A90F10" w:rsidP="00A90F10">
      <w:r w:rsidRPr="00BB5D46">
        <w:rPr>
          <w:rFonts w:eastAsia="Arial" w:cs="Times New Roman"/>
          <w:b/>
        </w:rPr>
        <w:t xml:space="preserve">Reference: </w:t>
      </w:r>
      <w:r w:rsidRPr="00E449D5">
        <w:t xml:space="preserve">Alvesson, M., &amp; </w:t>
      </w:r>
      <w:proofErr w:type="spellStart"/>
      <w:r w:rsidRPr="00E449D5">
        <w:t>Einola</w:t>
      </w:r>
      <w:proofErr w:type="spellEnd"/>
      <w:r w:rsidRPr="00E449D5">
        <w:t>, K. (2019). Warning for excessive positivity: Authentic leadership and other traps in</w:t>
      </w:r>
      <w:r>
        <w:rPr>
          <w:rFonts w:eastAsia="Arial" w:cs="Times New Roman"/>
          <w:b/>
        </w:rPr>
        <w:t xml:space="preserve"> </w:t>
      </w:r>
      <w:r w:rsidRPr="00E449D5">
        <w:t>leadership studies. The Leadership Quarterly, 30, 383-395.</w:t>
      </w:r>
    </w:p>
    <w:p w:rsidR="00A90F10" w:rsidRPr="00E449D5" w:rsidRDefault="00A90F10" w:rsidP="00A90F10">
      <w:pPr>
        <w:rPr>
          <w:rFonts w:eastAsia="Arial" w:cs="Times New Roman"/>
          <w:b/>
        </w:rPr>
      </w:pPr>
    </w:p>
    <w:p w:rsidR="00A90F10" w:rsidRPr="00F8461F" w:rsidRDefault="00A90F10" w:rsidP="00A90F10">
      <w:pPr>
        <w:rPr>
          <w:rFonts w:eastAsia="Arial" w:cs="Times New Roman"/>
        </w:rPr>
      </w:pPr>
      <w:r>
        <w:rPr>
          <w:rFonts w:eastAsia="Arial" w:cs="Times New Roman"/>
          <w:b/>
        </w:rPr>
        <w:t>Author</w:t>
      </w:r>
      <w:r w:rsidRPr="00BB5D46">
        <w:rPr>
          <w:rFonts w:eastAsia="Arial" w:cs="Times New Roman"/>
          <w:b/>
        </w:rPr>
        <w:t xml:space="preserve"> summary:</w:t>
      </w:r>
      <w:r w:rsidRPr="00BB5D46">
        <w:rPr>
          <w:rFonts w:eastAsia="Arial" w:cs="Times New Roman"/>
        </w:rPr>
        <w:t xml:space="preserve"> </w:t>
      </w:r>
      <w:r w:rsidRPr="00F8461F">
        <w:rPr>
          <w:rFonts w:eastAsia="Arial" w:cs="Times New Roman"/>
        </w:rPr>
        <w:t>We study authentic leadership as a prominent but problematic example of positive leadership that we use as a more general “warning” against the current fashion of</w:t>
      </w:r>
    </w:p>
    <w:p w:rsidR="00A90F10" w:rsidRPr="00F8461F" w:rsidRDefault="00A90F10" w:rsidP="00A90F10">
      <w:pPr>
        <w:rPr>
          <w:rFonts w:eastAsia="Arial" w:cs="Times New Roman"/>
        </w:rPr>
      </w:pPr>
      <w:r w:rsidRPr="00F8461F">
        <w:rPr>
          <w:rFonts w:eastAsia="Arial" w:cs="Times New Roman"/>
        </w:rPr>
        <w:lastRenderedPageBreak/>
        <w:t>excessive positivity in le</w:t>
      </w:r>
      <w:r>
        <w:rPr>
          <w:rFonts w:eastAsia="Arial" w:cs="Times New Roman"/>
        </w:rPr>
        <w:t xml:space="preserve">adership studies … </w:t>
      </w:r>
      <w:r w:rsidRPr="00F8461F">
        <w:rPr>
          <w:rFonts w:eastAsia="Arial" w:cs="Times New Roman"/>
        </w:rPr>
        <w:t>we critically examine the principal tenets of mainstream authentic leadership theory</w:t>
      </w:r>
      <w:r>
        <w:rPr>
          <w:rFonts w:eastAsia="Arial" w:cs="Times New Roman"/>
        </w:rPr>
        <w:t xml:space="preserve"> </w:t>
      </w:r>
      <w:r w:rsidRPr="00F8461F">
        <w:rPr>
          <w:rFonts w:eastAsia="Arial" w:cs="Times New Roman"/>
        </w:rPr>
        <w:t>and reveal a number of fundamental flaws: shaky philosophical and theoretical foundations, tautological reasoning, weak empirical studies, nonsensical measurement</w:t>
      </w:r>
      <w:r>
        <w:rPr>
          <w:rFonts w:eastAsia="Arial" w:cs="Times New Roman"/>
        </w:rPr>
        <w:t xml:space="preserve"> </w:t>
      </w:r>
      <w:r w:rsidRPr="00F8461F">
        <w:rPr>
          <w:rFonts w:eastAsia="Arial" w:cs="Times New Roman"/>
        </w:rPr>
        <w:t>tools, unsupported knowledge claims, and a generally simplistic and out of date view of corporate life. Even though our study focuses on authentic leadership,</w:t>
      </w:r>
    </w:p>
    <w:p w:rsidR="00A90F10" w:rsidRPr="00BB5D46" w:rsidRDefault="00A90F10" w:rsidP="00A90F10">
      <w:pPr>
        <w:rPr>
          <w:rFonts w:eastAsia="Arial" w:cs="Times New Roman"/>
        </w:rPr>
      </w:pPr>
      <w:r w:rsidRPr="00F8461F">
        <w:rPr>
          <w:rFonts w:eastAsia="Arial" w:cs="Times New Roman"/>
        </w:rPr>
        <w:t>much of our criticism is also applicable to other popular positive leadership theories, such as transformational, servant, ethical, and spiritual leadership.</w:t>
      </w:r>
    </w:p>
    <w:p w:rsidR="00A90F10" w:rsidRDefault="00A90F10" w:rsidP="00A90F10">
      <w:pPr>
        <w:rPr>
          <w:rFonts w:eastAsia="Arial" w:cs="Times New Roman"/>
          <w:b/>
        </w:rPr>
      </w:pPr>
    </w:p>
    <w:p w:rsidR="00A90F10" w:rsidRPr="00BB5D46" w:rsidRDefault="00A90F10" w:rsidP="00A90F10">
      <w:pPr>
        <w:rPr>
          <w:rFonts w:eastAsia="Times New Roman" w:cs="Times New Roman"/>
          <w:sz w:val="22"/>
          <w:szCs w:val="22"/>
          <w:lang w:val="en-US"/>
        </w:rPr>
      </w:pPr>
      <w:r w:rsidRPr="00BB5D46">
        <w:rPr>
          <w:rFonts w:eastAsia="Arial" w:cs="Times New Roman"/>
          <w:b/>
        </w:rPr>
        <w:t xml:space="preserve">Comment on </w:t>
      </w:r>
      <w:r>
        <w:rPr>
          <w:rFonts w:eastAsia="Times New Roman" w:cs="Times New Roman"/>
          <w:b/>
          <w:lang w:val="en-US"/>
        </w:rPr>
        <w:t>Alvesson et al</w:t>
      </w:r>
      <w:r w:rsidRPr="00BB5D46">
        <w:rPr>
          <w:rFonts w:eastAsia="Times New Roman" w:cs="Times New Roman"/>
          <w:b/>
          <w:lang w:val="en-US"/>
        </w:rPr>
        <w:t xml:space="preserve"> (20</w:t>
      </w:r>
      <w:r>
        <w:rPr>
          <w:rFonts w:eastAsia="Times New Roman" w:cs="Times New Roman"/>
          <w:b/>
          <w:lang w:val="en-US"/>
        </w:rPr>
        <w:t>19</w:t>
      </w:r>
      <w:r w:rsidRPr="00BB5D46">
        <w:rPr>
          <w:rFonts w:eastAsia="Times New Roman" w:cs="Times New Roman"/>
          <w:b/>
          <w:lang w:val="en-US"/>
        </w:rPr>
        <w:t>)</w:t>
      </w:r>
    </w:p>
    <w:p w:rsidR="00A90F10" w:rsidRDefault="00A90F10" w:rsidP="00A90F10">
      <w:pPr>
        <w:rPr>
          <w:rFonts w:eastAsia="Arial" w:cs="Times New Roman"/>
          <w:i/>
        </w:rPr>
      </w:pPr>
      <w:r w:rsidRPr="00BB5D46">
        <w:rPr>
          <w:rFonts w:eastAsia="Arial" w:cs="Times New Roman"/>
          <w:i/>
        </w:rPr>
        <w:t>Robert A. Cummins</w:t>
      </w:r>
    </w:p>
    <w:p w:rsidR="00A90F10" w:rsidRDefault="00A90F10" w:rsidP="00A90F10">
      <w:pPr>
        <w:rPr>
          <w:rFonts w:eastAsia="Arial" w:cs="Times New Roman"/>
        </w:rPr>
      </w:pPr>
      <w:r>
        <w:rPr>
          <w:rFonts w:eastAsia="Arial" w:cs="Times New Roman"/>
        </w:rPr>
        <w:t xml:space="preserve">Alvesson and colleagues have argued their case well. It is surely now incumbent on the proponents of Positive Leadership, Positive Psychology and, indeed, of Positive Scholarship generally, to respond to these challenges. In the meantime, and continuing </w:t>
      </w:r>
      <w:r w:rsidR="00050F70">
        <w:rPr>
          <w:rFonts w:eastAsia="Arial" w:cs="Times New Roman"/>
        </w:rPr>
        <w:t>the Alvesson</w:t>
      </w:r>
      <w:r>
        <w:rPr>
          <w:rFonts w:eastAsia="Arial" w:cs="Times New Roman"/>
        </w:rPr>
        <w:t xml:space="preserve"> critique, it seems parsimonious to consider the positive scholarship field as a whole.</w:t>
      </w:r>
    </w:p>
    <w:p w:rsidR="00A90F10" w:rsidRDefault="00A90F10" w:rsidP="00A90F10">
      <w:pPr>
        <w:rPr>
          <w:rFonts w:eastAsia="Arial" w:cs="Times New Roman"/>
        </w:rPr>
      </w:pPr>
    </w:p>
    <w:p w:rsidR="00A90F10" w:rsidRDefault="00A90F10" w:rsidP="00A90F10">
      <w:pPr>
        <w:rPr>
          <w:rFonts w:eastAsia="Arial" w:cs="Times New Roman"/>
        </w:rPr>
      </w:pPr>
      <w:r>
        <w:rPr>
          <w:rFonts w:eastAsia="Arial" w:cs="Times New Roman"/>
        </w:rPr>
        <w:t xml:space="preserve">In introducing their conception of  Positive Psychology, </w:t>
      </w:r>
      <w:r>
        <w:rPr>
          <w:rFonts w:eastAsia="Arial" w:cs="Times New Roman"/>
        </w:rPr>
        <w:fldChar w:fldCharType="begin"/>
      </w:r>
      <w:r>
        <w:rPr>
          <w:rFonts w:eastAsia="Arial" w:cs="Times New Roman"/>
        </w:rPr>
        <w:instrText xml:space="preserve"> ADDIN EN.CITE &lt;EndNote&gt;&lt;Cite AuthorYear="1"&gt;&lt;Author&gt;Seligman&lt;/Author&gt;&lt;Year&gt;2000&lt;/Year&gt;&lt;RecNum&gt;538&lt;/RecNum&gt;&lt;DisplayText&gt;Seligman and Csikszentmihalyi (2000)&lt;/DisplayText&gt;&lt;record&gt;&lt;rec-number&gt;538&lt;/rec-number&gt;&lt;foreign-keys&gt;&lt;key app="EN" db-id="z2xarpe9cfrvp4ezdxk5ddx9dsrzr05f22sa" timestamp="1343947764"&gt;538&lt;/key&gt;&lt;/foreign-keys&gt;&lt;ref-type name="Journal Article"&gt;17&lt;/ref-type&gt;&lt;contributors&gt;&lt;authors&gt;&lt;author&gt;Seligman, M.E.P.&lt;/author&gt;&lt;author&gt;Csikszentmihalyi, M.&lt;/author&gt;&lt;/authors&gt;&lt;/contributors&gt;&lt;titles&gt;&lt;title&gt;Positive psychology: an introduction&lt;/title&gt;&lt;secondary-title&gt;American Psychologist&lt;/secondary-title&gt;&lt;/titles&gt;&lt;periodical&gt;&lt;full-title&gt;American Psychologist&lt;/full-title&gt;&lt;/periodical&gt;&lt;pages&gt;5-15&lt;/pages&gt;&lt;volume&gt;55&lt;/volume&gt;&lt;dates&gt;&lt;year&gt;2000&lt;/year&gt;&lt;/dates&gt;&lt;urls&gt;&lt;/urls&gt;&lt;/record&gt;&lt;/Cite&gt;&lt;/EndNote&gt;</w:instrText>
      </w:r>
      <w:r>
        <w:rPr>
          <w:rFonts w:eastAsia="Arial" w:cs="Times New Roman"/>
        </w:rPr>
        <w:fldChar w:fldCharType="separate"/>
      </w:r>
      <w:r>
        <w:rPr>
          <w:rFonts w:eastAsia="Arial" w:cs="Times New Roman"/>
          <w:noProof/>
        </w:rPr>
        <w:t>Seligman and Csikszentmihalyi (2000)</w:t>
      </w:r>
      <w:r>
        <w:rPr>
          <w:rFonts w:eastAsia="Arial" w:cs="Times New Roman"/>
        </w:rPr>
        <w:fldChar w:fldCharType="end"/>
      </w:r>
      <w:r>
        <w:rPr>
          <w:rFonts w:eastAsia="Arial" w:cs="Times New Roman"/>
        </w:rPr>
        <w:t xml:space="preserve"> state “</w:t>
      </w:r>
      <w:r w:rsidRPr="00003AA7">
        <w:rPr>
          <w:rFonts w:eastAsia="Arial" w:cs="Times New Roman"/>
        </w:rPr>
        <w:t>The field of positive psy</w:t>
      </w:r>
      <w:r>
        <w:rPr>
          <w:rFonts w:eastAsia="Arial" w:cs="Times New Roman"/>
        </w:rPr>
        <w:t xml:space="preserve">chology … </w:t>
      </w:r>
      <w:r w:rsidRPr="00003AA7">
        <w:rPr>
          <w:rFonts w:eastAsia="Arial" w:cs="Times New Roman"/>
        </w:rPr>
        <w:t>is about valued subjective experiences: well-being, contentment,</w:t>
      </w:r>
      <w:r>
        <w:rPr>
          <w:rFonts w:eastAsia="Arial" w:cs="Times New Roman"/>
        </w:rPr>
        <w:t xml:space="preserve"> </w:t>
      </w:r>
      <w:r w:rsidRPr="00003AA7">
        <w:rPr>
          <w:rFonts w:eastAsia="Arial" w:cs="Times New Roman"/>
        </w:rPr>
        <w:t>and satisfaction (in the past); hope and optimism</w:t>
      </w:r>
      <w:r>
        <w:rPr>
          <w:rFonts w:eastAsia="Arial" w:cs="Times New Roman"/>
        </w:rPr>
        <w:t xml:space="preserve"> </w:t>
      </w:r>
      <w:r w:rsidRPr="00003AA7">
        <w:rPr>
          <w:rFonts w:eastAsia="Arial" w:cs="Times New Roman"/>
        </w:rPr>
        <w:t>(for the future); and flow and happiness (in the present). At</w:t>
      </w:r>
      <w:r>
        <w:rPr>
          <w:rFonts w:eastAsia="Arial" w:cs="Times New Roman"/>
        </w:rPr>
        <w:t xml:space="preserve"> </w:t>
      </w:r>
      <w:r w:rsidRPr="00003AA7">
        <w:rPr>
          <w:rFonts w:eastAsia="Arial" w:cs="Times New Roman"/>
        </w:rPr>
        <w:t>the individual level, it is about positive individual traits: the</w:t>
      </w:r>
      <w:r>
        <w:rPr>
          <w:rFonts w:eastAsia="Arial" w:cs="Times New Roman"/>
        </w:rPr>
        <w:t xml:space="preserve"> </w:t>
      </w:r>
      <w:r w:rsidRPr="00003AA7">
        <w:rPr>
          <w:rFonts w:eastAsia="Arial" w:cs="Times New Roman"/>
        </w:rPr>
        <w:t>capacity for love and vocation, courage, interpersonal skill,</w:t>
      </w:r>
      <w:r>
        <w:rPr>
          <w:rFonts w:eastAsia="Arial" w:cs="Times New Roman"/>
        </w:rPr>
        <w:t xml:space="preserve"> </w:t>
      </w:r>
      <w:r w:rsidRPr="00003AA7">
        <w:rPr>
          <w:rFonts w:eastAsia="Arial" w:cs="Times New Roman"/>
        </w:rPr>
        <w:t>aesthetic sensibility, perseverance, forgiveness, originality,</w:t>
      </w:r>
      <w:r>
        <w:rPr>
          <w:rFonts w:eastAsia="Arial" w:cs="Times New Roman"/>
        </w:rPr>
        <w:t xml:space="preserve"> </w:t>
      </w:r>
      <w:r w:rsidRPr="00003AA7">
        <w:rPr>
          <w:rFonts w:eastAsia="Arial" w:cs="Times New Roman"/>
        </w:rPr>
        <w:t>future mindedness, spirituality, high talent, and wisdom. At</w:t>
      </w:r>
      <w:r>
        <w:rPr>
          <w:rFonts w:eastAsia="Arial" w:cs="Times New Roman"/>
        </w:rPr>
        <w:t xml:space="preserve"> </w:t>
      </w:r>
      <w:r w:rsidRPr="00003AA7">
        <w:rPr>
          <w:rFonts w:eastAsia="Arial" w:cs="Times New Roman"/>
        </w:rPr>
        <w:t>the group level, it is about the civic virtues and the institutions</w:t>
      </w:r>
      <w:r>
        <w:rPr>
          <w:rFonts w:eastAsia="Arial" w:cs="Times New Roman"/>
        </w:rPr>
        <w:t xml:space="preserve"> </w:t>
      </w:r>
      <w:r w:rsidRPr="00003AA7">
        <w:rPr>
          <w:rFonts w:eastAsia="Arial" w:cs="Times New Roman"/>
        </w:rPr>
        <w:t>that move individuals toward better citizenship:</w:t>
      </w:r>
      <w:r>
        <w:rPr>
          <w:rFonts w:eastAsia="Arial" w:cs="Times New Roman"/>
        </w:rPr>
        <w:t xml:space="preserve"> </w:t>
      </w:r>
      <w:r w:rsidRPr="00003AA7">
        <w:rPr>
          <w:rFonts w:eastAsia="Arial" w:cs="Times New Roman"/>
        </w:rPr>
        <w:t>responsibility, nurturance, altruism, civility, moderation,</w:t>
      </w:r>
      <w:r>
        <w:rPr>
          <w:rFonts w:eastAsia="Arial" w:cs="Times New Roman"/>
        </w:rPr>
        <w:t xml:space="preserve"> tolerance, and work ethic.” (p.4) In other words, the authors use the known universe of positive constructs to define a well-functioning person.</w:t>
      </w:r>
    </w:p>
    <w:p w:rsidR="00A90F10" w:rsidRDefault="00A90F10" w:rsidP="00A90F10">
      <w:pPr>
        <w:rPr>
          <w:rFonts w:eastAsia="Arial" w:cs="Times New Roman"/>
        </w:rPr>
      </w:pPr>
    </w:p>
    <w:p w:rsidR="00A90F10" w:rsidRPr="000A4B23" w:rsidRDefault="00A90F10" w:rsidP="00A90F10">
      <w:pPr>
        <w:rPr>
          <w:rFonts w:eastAsia="Arial" w:cs="Times New Roman"/>
        </w:rPr>
      </w:pPr>
      <w:r>
        <w:rPr>
          <w:rFonts w:eastAsia="Arial" w:cs="Times New Roman"/>
        </w:rPr>
        <w:t xml:space="preserve">In introducing their conception of Authentic Leadership, </w:t>
      </w:r>
      <w:r>
        <w:rPr>
          <w:rFonts w:eastAsia="Arial" w:cs="Times New Roman"/>
        </w:rPr>
        <w:fldChar w:fldCharType="begin"/>
      </w:r>
      <w:r>
        <w:rPr>
          <w:rFonts w:eastAsia="Arial" w:cs="Times New Roman"/>
        </w:rPr>
        <w:instrText xml:space="preserve"> ADDIN EN.CITE &lt;EndNote&gt;&lt;Cite AuthorYear="1"&gt;&lt;Author&gt;Avolio&lt;/Author&gt;&lt;Year&gt;2005&lt;/Year&gt;&lt;RecNum&gt;3912&lt;/RecNum&gt;&lt;DisplayText&gt;Avolio and Gardner (2005)&lt;/DisplayText&gt;&lt;record&gt;&lt;rec-number&gt;3912&lt;/rec-number&gt;&lt;foreign-keys&gt;&lt;key app="EN" db-id="z2xarpe9cfrvp4ezdxk5ddx9dsrzr05f22sa" timestamp="1566802568"&gt;3912&lt;/key&gt;&lt;/foreign-keys&gt;&lt;ref-type name="Journal Article"&gt;17&lt;/ref-type&gt;&lt;contributors&gt;&lt;authors&gt;&lt;author&gt;Avolio, B. J.&lt;/author&gt;&lt;author&gt;Gardner, William L&lt;/author&gt;&lt;/authors&gt;&lt;/contributors&gt;&lt;titles&gt;&lt;title&gt;Authentic leadership development: Getting to the root of positive forms of leadership&lt;/title&gt;&lt;secondary-title&gt;The leadership quarterly&lt;/secondary-title&gt;&lt;/titles&gt;&lt;periodical&gt;&lt;full-title&gt;The Leadership Quarterly&lt;/full-title&gt;&lt;/periodical&gt;&lt;pages&gt;315-338&lt;/pages&gt;&lt;volume&gt;16&lt;/volume&gt;&lt;number&gt;3&lt;/number&gt;&lt;dates&gt;&lt;year&gt;2005&lt;/year&gt;&lt;/dates&gt;&lt;isbn&gt;1048-9843&lt;/isbn&gt;&lt;urls&gt;&lt;/urls&gt;&lt;/record&gt;&lt;/Cite&gt;&lt;/EndNote&gt;</w:instrText>
      </w:r>
      <w:r>
        <w:rPr>
          <w:rFonts w:eastAsia="Arial" w:cs="Times New Roman"/>
        </w:rPr>
        <w:fldChar w:fldCharType="separate"/>
      </w:r>
      <w:r>
        <w:rPr>
          <w:rFonts w:eastAsia="Arial" w:cs="Times New Roman"/>
          <w:noProof/>
        </w:rPr>
        <w:t>Avolio and Gardner (2005)</w:t>
      </w:r>
      <w:r>
        <w:rPr>
          <w:rFonts w:eastAsia="Arial" w:cs="Times New Roman"/>
        </w:rPr>
        <w:fldChar w:fldCharType="end"/>
      </w:r>
      <w:r>
        <w:rPr>
          <w:rFonts w:eastAsia="Arial" w:cs="Times New Roman"/>
        </w:rPr>
        <w:t xml:space="preserve"> state “</w:t>
      </w:r>
      <w:r w:rsidRPr="000A4B23">
        <w:rPr>
          <w:rFonts w:eastAsia="Arial" w:cs="Times New Roman"/>
        </w:rPr>
        <w:t>What constitutes the normal range of</w:t>
      </w:r>
      <w:r>
        <w:rPr>
          <w:rFonts w:eastAsia="Arial" w:cs="Times New Roman"/>
        </w:rPr>
        <w:t xml:space="preserve"> </w:t>
      </w:r>
      <w:r w:rsidRPr="000A4B23">
        <w:rPr>
          <w:rFonts w:eastAsia="Arial" w:cs="Times New Roman"/>
        </w:rPr>
        <w:t xml:space="preserve">functioning in </w:t>
      </w:r>
      <w:r>
        <w:rPr>
          <w:rFonts w:eastAsia="Arial" w:cs="Times New Roman"/>
        </w:rPr>
        <w:t>[conditions of major societal challenges]</w:t>
      </w:r>
      <w:r w:rsidRPr="000A4B23">
        <w:rPr>
          <w:rFonts w:eastAsia="Arial" w:cs="Times New Roman"/>
        </w:rPr>
        <w:t xml:space="preserve"> is constantly shifting upwards as new challenges, technologies, market</w:t>
      </w:r>
    </w:p>
    <w:p w:rsidR="00A90F10" w:rsidRDefault="00A90F10" w:rsidP="00A90F10">
      <w:pPr>
        <w:rPr>
          <w:rFonts w:eastAsia="Arial" w:cs="Times New Roman"/>
        </w:rPr>
      </w:pPr>
      <w:r w:rsidRPr="000A4B23">
        <w:rPr>
          <w:rFonts w:eastAsia="Arial" w:cs="Times New Roman"/>
        </w:rPr>
        <w:t>demands, and competition emerge. We suggest that such challenges have precipitated a renewed focus</w:t>
      </w:r>
      <w:r>
        <w:rPr>
          <w:rFonts w:eastAsia="Arial" w:cs="Times New Roman"/>
        </w:rPr>
        <w:t xml:space="preserve"> </w:t>
      </w:r>
      <w:r w:rsidRPr="000A4B23">
        <w:rPr>
          <w:rFonts w:eastAsia="Arial" w:cs="Times New Roman"/>
        </w:rPr>
        <w:t>on restoring confidence, hope, and optimism; being able to rapidly bounce back from catastrophic</w:t>
      </w:r>
      <w:r>
        <w:rPr>
          <w:rFonts w:eastAsia="Arial" w:cs="Times New Roman"/>
        </w:rPr>
        <w:t xml:space="preserve"> </w:t>
      </w:r>
      <w:r w:rsidRPr="000A4B23">
        <w:rPr>
          <w:rFonts w:eastAsia="Arial" w:cs="Times New Roman"/>
        </w:rPr>
        <w:t>events and display resiliency; helping people in their search for meaning and connection by fostering a</w:t>
      </w:r>
      <w:r>
        <w:rPr>
          <w:rFonts w:eastAsia="Arial" w:cs="Times New Roman"/>
        </w:rPr>
        <w:t xml:space="preserve"> </w:t>
      </w:r>
      <w:r w:rsidRPr="000A4B23">
        <w:rPr>
          <w:rFonts w:eastAsia="Arial" w:cs="Times New Roman"/>
        </w:rPr>
        <w:t xml:space="preserve">new self-awareness; and </w:t>
      </w:r>
      <w:r>
        <w:rPr>
          <w:rFonts w:eastAsia="Arial" w:cs="Times New Roman"/>
        </w:rPr>
        <w:t xml:space="preserve">… </w:t>
      </w:r>
      <w:r w:rsidRPr="000A4B23">
        <w:rPr>
          <w:rFonts w:eastAsia="Arial" w:cs="Times New Roman"/>
        </w:rPr>
        <w:t>leaders who lead with</w:t>
      </w:r>
      <w:r>
        <w:rPr>
          <w:rFonts w:eastAsia="Arial" w:cs="Times New Roman"/>
        </w:rPr>
        <w:t xml:space="preserve"> purpose, values, and integrity, etc.” (p.316) In other words, much the same universe of positive constructs </w:t>
      </w:r>
      <w:r w:rsidR="00050F70">
        <w:rPr>
          <w:rFonts w:eastAsia="Arial" w:cs="Times New Roman"/>
        </w:rPr>
        <w:t>as Seligman</w:t>
      </w:r>
      <w:r>
        <w:rPr>
          <w:rFonts w:eastAsia="Arial" w:cs="Times New Roman"/>
        </w:rPr>
        <w:t xml:space="preserve"> used to define a well-functioning </w:t>
      </w:r>
      <w:r w:rsidR="00050F70">
        <w:rPr>
          <w:rFonts w:eastAsia="Arial" w:cs="Times New Roman"/>
        </w:rPr>
        <w:t>person</w:t>
      </w:r>
      <w:r>
        <w:rPr>
          <w:rFonts w:eastAsia="Arial" w:cs="Times New Roman"/>
        </w:rPr>
        <w:t>.</w:t>
      </w:r>
    </w:p>
    <w:p w:rsidR="00A90F10" w:rsidRDefault="00A90F10" w:rsidP="00A90F10">
      <w:pPr>
        <w:rPr>
          <w:rFonts w:eastAsia="Arial" w:cs="Times New Roman"/>
        </w:rPr>
      </w:pPr>
    </w:p>
    <w:p w:rsidR="00A90F10" w:rsidRDefault="00A90F10" w:rsidP="00A90F10">
      <w:pPr>
        <w:rPr>
          <w:rFonts w:eastAsia="Arial" w:cs="Times New Roman"/>
        </w:rPr>
      </w:pPr>
      <w:r>
        <w:rPr>
          <w:rFonts w:eastAsia="Arial" w:cs="Times New Roman"/>
        </w:rPr>
        <w:t>In summary, both proposals list a very wide range of positive attributes and both claim a link between superior human functioning and the experience of these attributes at higher-than-normal levels. This proposition conflicts with homeostasis theory for the following reasons.</w:t>
      </w:r>
    </w:p>
    <w:p w:rsidR="00A90F10" w:rsidRDefault="00A90F10" w:rsidP="00A90F10">
      <w:pPr>
        <w:rPr>
          <w:rFonts w:eastAsia="Arial" w:cs="Times New Roman"/>
        </w:rPr>
      </w:pPr>
    </w:p>
    <w:p w:rsidR="00A90F10" w:rsidRDefault="00A90F10" w:rsidP="00A90F10">
      <w:pPr>
        <w:rPr>
          <w:rFonts w:eastAsia="Arial" w:cs="Times New Roman"/>
        </w:rPr>
      </w:pPr>
      <w:r>
        <w:rPr>
          <w:rFonts w:eastAsia="Arial" w:cs="Times New Roman"/>
        </w:rPr>
        <w:t>1. All of the listed positive attributes have a strong association with HPMood. The reason for this is explained and demonstrated by</w:t>
      </w:r>
      <w:r w:rsidRPr="00742EEC">
        <w:rPr>
          <w:rFonts w:eastAsia="Arial" w:cs="Times New Roman"/>
        </w:rPr>
        <w:t xml:space="preserve"> </w:t>
      </w:r>
      <w:r>
        <w:rPr>
          <w:rFonts w:eastAsia="Arial" w:cs="Times New Roman"/>
        </w:rPr>
        <w:fldChar w:fldCharType="begin"/>
      </w:r>
      <w:r>
        <w:rPr>
          <w:rFonts w:eastAsia="Arial" w:cs="Times New Roman"/>
        </w:rPr>
        <w:instrText xml:space="preserve"> ADDIN EN.CITE &lt;EndNote&gt;&lt;Cite AuthorYear="1"&gt;&lt;Author&gt;Cummins&lt;/Author&gt;&lt;Year&gt;2018&lt;/Year&gt;&lt;RecNum&gt;2895&lt;/RecNum&gt;&lt;DisplayText&gt;Cummins et al. (2018)&lt;/DisplayText&gt;&lt;record&gt;&lt;rec-number&gt;2895&lt;/rec-number&gt;&lt;foreign-keys&gt;&lt;key app="EN" db-id="z2xarpe9cfrvp4ezdxk5ddx9dsrzr05f22sa" timestamp="1486353818"&gt;2895&lt;/key&gt;&lt;/foreign-keys&gt;&lt;ref-type name="Journal Article"&gt;17&lt;/ref-type&gt;&lt;contributors&gt;&lt;authors&gt;&lt;author&gt;Cummins, R. A.&lt;/author&gt;&lt;author&gt;Capic, T.&lt;/author&gt;&lt;author&gt;Hutchinson, D.&lt;/author&gt;&lt;author&gt;Fuller-Tyszkiewicz, M.&lt;/author&gt;&lt;author&gt;Olsson, C. A.&lt;/author&gt;&lt;author&gt;Richardson, B.&lt;/author&gt;&lt;/authors&gt;&lt;/contributors&gt;&lt;titles&gt;&lt;title&gt;Why self-report variables inter-correlate: The role of Homeostatically Protected Mood&lt;/title&gt;&lt;secondary-title&gt;Journal of Wellbeing Assessment&lt;/secondary-title&gt;&lt;/titles&gt;&lt;periodical&gt;&lt;full-title&gt;Journal of Wellbeing Assessment&lt;/full-title&gt;&lt;/periodical&gt;&lt;pages&gt;93-114&lt;/pages&gt;&lt;volume&gt;2&lt;/volume&gt;&lt;dates&gt;&lt;year&gt;2018&lt;/year&gt;&lt;/dates&gt;&lt;urls&gt;&lt;/urls&gt;&lt;electronic-resource-num&gt;10.1007/s41543-018-0014-0&lt;/electronic-resource-num&gt;&lt;/record&gt;&lt;/Cite&gt;&lt;/EndNote&gt;</w:instrText>
      </w:r>
      <w:r>
        <w:rPr>
          <w:rFonts w:eastAsia="Arial" w:cs="Times New Roman"/>
        </w:rPr>
        <w:fldChar w:fldCharType="separate"/>
      </w:r>
      <w:r>
        <w:rPr>
          <w:rFonts w:eastAsia="Arial" w:cs="Times New Roman"/>
          <w:noProof/>
        </w:rPr>
        <w:t>Cummins et al. (2018)</w:t>
      </w:r>
      <w:r>
        <w:rPr>
          <w:rFonts w:eastAsia="Arial" w:cs="Times New Roman"/>
        </w:rPr>
        <w:fldChar w:fldCharType="end"/>
      </w:r>
      <w:r>
        <w:rPr>
          <w:rFonts w:eastAsia="Arial" w:cs="Times New Roman"/>
        </w:rPr>
        <w:t>.  Essentially, when people are</w:t>
      </w:r>
      <w:r w:rsidRPr="00742EEC">
        <w:rPr>
          <w:rFonts w:eastAsia="Arial" w:cs="Times New Roman"/>
        </w:rPr>
        <w:t xml:space="preserve"> </w:t>
      </w:r>
      <w:r>
        <w:rPr>
          <w:rFonts w:eastAsia="Arial" w:cs="Times New Roman"/>
        </w:rPr>
        <w:t xml:space="preserve">asked to evaluate them self on some rather abstract quality (e.g. satisfaction with life as a whole), there is no clear target for a cognitive evaluation. This causes them to reflect inwards, on their general mood state, such that their response largely reflects their level of HPMood. Alternatively, when people evaluate some property outside them self that is specifically identified (e.g. satisfaction with public transport in your area), their response reflects their feelings about this clear cognitive target, and HPMood will be barely detectable in their response. </w:t>
      </w:r>
    </w:p>
    <w:p w:rsidR="00A90F10" w:rsidRDefault="00A90F10" w:rsidP="00A90F10">
      <w:pPr>
        <w:rPr>
          <w:rFonts w:eastAsia="Arial" w:cs="Times New Roman"/>
        </w:rPr>
      </w:pPr>
    </w:p>
    <w:p w:rsidR="00A90F10" w:rsidRDefault="00A90F10" w:rsidP="00A90F10">
      <w:pPr>
        <w:rPr>
          <w:rFonts w:eastAsia="Arial" w:cs="Times New Roman"/>
        </w:rPr>
      </w:pPr>
      <w:r>
        <w:rPr>
          <w:rFonts w:eastAsia="Arial" w:cs="Times New Roman"/>
        </w:rPr>
        <w:lastRenderedPageBreak/>
        <w:t xml:space="preserve">The demonstration of this phenomenon </w:t>
      </w:r>
      <w:r>
        <w:rPr>
          <w:rFonts w:eastAsia="Arial" w:cs="Times New Roman"/>
        </w:rPr>
        <w:fldChar w:fldCharType="begin"/>
      </w:r>
      <w:r>
        <w:rPr>
          <w:rFonts w:eastAsia="Arial" w:cs="Times New Roman"/>
        </w:rPr>
        <w:instrText xml:space="preserve"> ADDIN EN.CITE &lt;EndNote&gt;&lt;Cite&gt;&lt;Author&gt;Cummins&lt;/Author&gt;&lt;Year&gt;2018&lt;/Year&gt;&lt;RecNum&gt;2895&lt;/RecNum&gt;&lt;DisplayText&gt;(Cummins et al., 2018)&lt;/DisplayText&gt;&lt;record&gt;&lt;rec-number&gt;2895&lt;/rec-number&gt;&lt;foreign-keys&gt;&lt;key app="EN" db-id="z2xarpe9cfrvp4ezdxk5ddx9dsrzr05f22sa" timestamp="1486353818"&gt;2895&lt;/key&gt;&lt;/foreign-keys&gt;&lt;ref-type name="Journal Article"&gt;17&lt;/ref-type&gt;&lt;contributors&gt;&lt;authors&gt;&lt;author&gt;Cummins, R. A.&lt;/author&gt;&lt;author&gt;Capic, T.&lt;/author&gt;&lt;author&gt;Hutchinson, D.&lt;/author&gt;&lt;author&gt;Fuller-Tyszkiewicz, M.&lt;/author&gt;&lt;author&gt;Olsson, C. A.&lt;/author&gt;&lt;author&gt;Richardson, B.&lt;/author&gt;&lt;/authors&gt;&lt;/contributors&gt;&lt;titles&gt;&lt;title&gt;Why self-report variables inter-correlate: The role of Homeostatically Protected Mood&lt;/title&gt;&lt;secondary-title&gt;Journal of Wellbeing Assessment&lt;/secondary-title&gt;&lt;/titles&gt;&lt;periodical&gt;&lt;full-title&gt;Journal of Wellbeing Assessment&lt;/full-title&gt;&lt;/periodical&gt;&lt;pages&gt;93-114&lt;/pages&gt;&lt;volume&gt;2&lt;/volume&gt;&lt;dates&gt;&lt;year&gt;2018&lt;/year&gt;&lt;/dates&gt;&lt;urls&gt;&lt;/urls&gt;&lt;electronic-resource-num&gt;10.1007/s41543-018-0014-0&lt;/electronic-resource-num&gt;&lt;/record&gt;&lt;/Cite&gt;&lt;/EndNote&gt;</w:instrText>
      </w:r>
      <w:r>
        <w:rPr>
          <w:rFonts w:eastAsia="Arial" w:cs="Times New Roman"/>
        </w:rPr>
        <w:fldChar w:fldCharType="separate"/>
      </w:r>
      <w:r>
        <w:rPr>
          <w:rFonts w:eastAsia="Arial" w:cs="Times New Roman"/>
          <w:noProof/>
        </w:rPr>
        <w:t>(Cummins et al., 2018)</w:t>
      </w:r>
      <w:r>
        <w:rPr>
          <w:rFonts w:eastAsia="Arial" w:cs="Times New Roman"/>
        </w:rPr>
        <w:fldChar w:fldCharType="end"/>
      </w:r>
      <w:r>
        <w:rPr>
          <w:rFonts w:eastAsia="Arial" w:cs="Times New Roman"/>
        </w:rPr>
        <w:t xml:space="preserve"> is illustrated by the changing correlation between Global Life Satisfaction and the Personal Wellbeing Index, both of which variables are personal and abstract. Before and after removing HPMood variance, their correlation changed from .74 to .44 (a decrease of 50.11%). On the other hand, the correlation between Global Life Satisfaction and income (a specific variable), changed after removing HPMood variance from .08 to .07 (a decrease of 1%). Notably, most of the Positive Scholarship variables are characterised as highly personal and abstract. Examples are: </w:t>
      </w:r>
      <w:r w:rsidRPr="00CB4944">
        <w:rPr>
          <w:rFonts w:eastAsia="Arial" w:cs="Times New Roman"/>
          <w:i/>
        </w:rPr>
        <w:t>Self-Esteem</w:t>
      </w:r>
      <w:r>
        <w:rPr>
          <w:rFonts w:eastAsia="Arial" w:cs="Times New Roman"/>
        </w:rPr>
        <w:t xml:space="preserve"> –</w:t>
      </w:r>
      <w:r w:rsidRPr="00F92634">
        <w:rPr>
          <w:rFonts w:ascii="Calibri" w:hAnsi="Calibri" w:cs="Calibri"/>
          <w:color w:val="000000"/>
          <w:sz w:val="22"/>
          <w:szCs w:val="22"/>
        </w:rPr>
        <w:t xml:space="preserve"> </w:t>
      </w:r>
      <w:r>
        <w:rPr>
          <w:rFonts w:ascii="Calibri" w:hAnsi="Calibri" w:cs="Calibri"/>
          <w:color w:val="000000"/>
          <w:sz w:val="22"/>
          <w:szCs w:val="22"/>
        </w:rPr>
        <w:t>‘</w:t>
      </w:r>
      <w:r w:rsidRPr="00F92634">
        <w:rPr>
          <w:rFonts w:eastAsia="Arial" w:cs="Times New Roman"/>
        </w:rPr>
        <w:t>I feel that I have a number of good qualities</w:t>
      </w:r>
      <w:r>
        <w:rPr>
          <w:rFonts w:eastAsia="Arial" w:cs="Times New Roman"/>
        </w:rPr>
        <w:t xml:space="preserve">’; </w:t>
      </w:r>
      <w:r w:rsidRPr="00CB4944">
        <w:rPr>
          <w:rFonts w:eastAsia="Arial" w:cs="Times New Roman"/>
          <w:i/>
        </w:rPr>
        <w:t>Optimism</w:t>
      </w:r>
      <w:r>
        <w:rPr>
          <w:rFonts w:eastAsia="Arial" w:cs="Times New Roman"/>
        </w:rPr>
        <w:t xml:space="preserve"> – ‘</w:t>
      </w:r>
      <w:r w:rsidRPr="00CB4944">
        <w:rPr>
          <w:rFonts w:eastAsia="Arial" w:cs="Times New Roman"/>
        </w:rPr>
        <w:t>In uncertain times, I usually expect the best</w:t>
      </w:r>
      <w:r>
        <w:rPr>
          <w:rFonts w:eastAsia="Arial" w:cs="Times New Roman"/>
        </w:rPr>
        <w:t>’, etc. It is thus very likely that most of the Positive Scholarship variables have a high content of HPMood.</w:t>
      </w:r>
    </w:p>
    <w:p w:rsidR="00A90F10" w:rsidRDefault="00A90F10" w:rsidP="00A90F10">
      <w:pPr>
        <w:rPr>
          <w:rFonts w:eastAsia="Arial" w:cs="Times New Roman"/>
        </w:rPr>
      </w:pPr>
    </w:p>
    <w:p w:rsidR="00A90F10" w:rsidRDefault="00A90F10" w:rsidP="00A90F10">
      <w:pPr>
        <w:rPr>
          <w:rFonts w:eastAsia="Arial" w:cs="Times New Roman"/>
        </w:rPr>
      </w:pPr>
      <w:r>
        <w:rPr>
          <w:rFonts w:eastAsia="Arial" w:cs="Times New Roman"/>
        </w:rPr>
        <w:t xml:space="preserve">2. When a self-evaluated variable has a high content of HPMood, its estimated level is likely to reflect that person’s </w:t>
      </w:r>
      <w:proofErr w:type="spellStart"/>
      <w:r>
        <w:rPr>
          <w:rFonts w:eastAsia="Arial" w:cs="Times New Roman"/>
        </w:rPr>
        <w:t>setpoint</w:t>
      </w:r>
      <w:proofErr w:type="spellEnd"/>
      <w:r>
        <w:rPr>
          <w:rFonts w:eastAsia="Arial" w:cs="Times New Roman"/>
        </w:rPr>
        <w:t xml:space="preserve">. Moreover, in general population samples, </w:t>
      </w:r>
      <w:proofErr w:type="spellStart"/>
      <w:r>
        <w:rPr>
          <w:rFonts w:eastAsia="Arial" w:cs="Times New Roman"/>
        </w:rPr>
        <w:t>setpoints</w:t>
      </w:r>
      <w:proofErr w:type="spellEnd"/>
      <w:r>
        <w:rPr>
          <w:rFonts w:eastAsia="Arial" w:cs="Times New Roman"/>
        </w:rPr>
        <w:t xml:space="preserve"> are normally distributed between 70 to 90pp. Thus, the population mean is 80pp and so, presumably, the Positive Scholarship adherents consider that having a </w:t>
      </w:r>
      <w:proofErr w:type="spellStart"/>
      <w:r>
        <w:rPr>
          <w:rFonts w:eastAsia="Arial" w:cs="Times New Roman"/>
        </w:rPr>
        <w:t>setpoint</w:t>
      </w:r>
      <w:proofErr w:type="spellEnd"/>
      <w:r>
        <w:rPr>
          <w:rFonts w:eastAsia="Arial" w:cs="Times New Roman"/>
        </w:rPr>
        <w:t xml:space="preserve"> in the upper half of the distribution is advantageous to high functioning generally and leadership in particular. This seems most unlikely. If it was generally advantageous to have a set-point above 80pp, then evolution would have selected a higher median set-point for the population. </w:t>
      </w:r>
    </w:p>
    <w:p w:rsidR="00A90F10" w:rsidRDefault="00A90F10" w:rsidP="00A90F10">
      <w:pPr>
        <w:rPr>
          <w:rFonts w:eastAsia="Arial" w:cs="Times New Roman"/>
        </w:rPr>
      </w:pPr>
    </w:p>
    <w:p w:rsidR="00A90F10" w:rsidRDefault="00A90F10" w:rsidP="00A90F10">
      <w:pPr>
        <w:rPr>
          <w:rFonts w:eastAsia="Arial" w:cs="Times New Roman"/>
        </w:rPr>
      </w:pPr>
      <w:r w:rsidRPr="00B62893">
        <w:rPr>
          <w:rFonts w:eastAsia="Arial" w:cs="Times New Roman"/>
        </w:rPr>
        <w:t>In conclusion, the argu</w:t>
      </w:r>
      <w:r>
        <w:rPr>
          <w:rFonts w:eastAsia="Arial" w:cs="Times New Roman"/>
        </w:rPr>
        <w:t xml:space="preserve">ments critiquing the ideas of Positive Scholarship are now many, varied, and convincing. Homeostasis theory now adds to this chorus of opposition by offering an additional form of challenge. The claim that high positive self-evaluation is linked generally to high performance, has not been substantiated. </w:t>
      </w:r>
    </w:p>
    <w:p w:rsidR="00A90F10" w:rsidRDefault="00A90F10" w:rsidP="00A90F10">
      <w:pPr>
        <w:rPr>
          <w:rFonts w:eastAsia="Arial" w:cs="Times New Roman"/>
        </w:rPr>
      </w:pPr>
    </w:p>
    <w:p w:rsidR="00A90F10" w:rsidRPr="00B62893" w:rsidRDefault="006F0D33" w:rsidP="00A90F10">
      <w:pPr>
        <w:rPr>
          <w:rFonts w:eastAsia="Arial" w:cs="Times New Roman"/>
        </w:rPr>
      </w:pPr>
      <w:r w:rsidRPr="006F0D33">
        <w:rPr>
          <w:rFonts w:eastAsia="Arial" w:cs="Times New Roman"/>
          <w:b/>
        </w:rPr>
        <w:t>References:</w:t>
      </w:r>
      <w:r w:rsidRPr="006F0D33">
        <w:rPr>
          <w:rFonts w:eastAsia="Arial" w:cs="Times New Roman"/>
        </w:rPr>
        <w:t xml:space="preserve"> </w:t>
      </w:r>
      <w:r w:rsidRPr="006F0D33">
        <w:rPr>
          <w:rFonts w:eastAsia="Arial" w:cs="Times New Roman"/>
          <w:i/>
        </w:rPr>
        <w:t>see end of Bulletin</w:t>
      </w:r>
    </w:p>
    <w:p w:rsidR="009548EC" w:rsidRPr="00BB5D46" w:rsidRDefault="009548EC" w:rsidP="009548EC">
      <w:pPr>
        <w:jc w:val="center"/>
        <w:rPr>
          <w:rFonts w:eastAsia="Arial" w:cs="Times New Roman"/>
          <w:i/>
        </w:rPr>
      </w:pPr>
    </w:p>
    <w:p w:rsidR="009548EC" w:rsidRPr="00BB5D46" w:rsidRDefault="009548EC" w:rsidP="009548EC">
      <w:pPr>
        <w:jc w:val="center"/>
        <w:rPr>
          <w:rFonts w:eastAsia="Arial" w:cs="Times New Roman"/>
          <w:i/>
        </w:rPr>
      </w:pPr>
      <w:r w:rsidRPr="00BB5D46">
        <w:rPr>
          <w:rFonts w:eastAsia="Arial" w:cs="Times New Roman"/>
          <w:i/>
        </w:rPr>
        <w:t xml:space="preserve">Further discussion of </w:t>
      </w:r>
      <w:r w:rsidR="00A90F10">
        <w:rPr>
          <w:rFonts w:eastAsia="Arial" w:cs="Times New Roman"/>
          <w:i/>
        </w:rPr>
        <w:t>this paper,</w:t>
      </w:r>
      <w:r w:rsidRPr="00BB5D46">
        <w:rPr>
          <w:rFonts w:eastAsia="Arial" w:cs="Times New Roman"/>
          <w:i/>
        </w:rPr>
        <w:t xml:space="preserve"> for circulation to members, is invited. Send to: </w:t>
      </w:r>
      <w:hyperlink r:id="rId125" w:history="1">
        <w:r w:rsidRPr="00BB5D46">
          <w:rPr>
            <w:rFonts w:eastAsia="Arial" w:cs="Times New Roman"/>
            <w:i/>
            <w:color w:val="0563C1"/>
            <w:u w:val="single"/>
          </w:rPr>
          <w:t>robert.cummins@deakin.edu.au</w:t>
        </w:r>
      </w:hyperlink>
    </w:p>
    <w:p w:rsidR="009548EC" w:rsidRPr="00BB5D46" w:rsidRDefault="009548EC" w:rsidP="009548EC">
      <w:pPr>
        <w:jc w:val="center"/>
        <w:rPr>
          <w:rFonts w:eastAsia="Arial" w:cs="Times New Roman"/>
          <w:i/>
        </w:rPr>
      </w:pPr>
      <w:r w:rsidRPr="00BB5D46">
        <w:rPr>
          <w:rFonts w:eastAsia="Arial" w:cs="Times New Roman"/>
          <w:i/>
        </w:rPr>
        <w:t>Substantive comments received by midnight</w:t>
      </w:r>
      <w:r w:rsidR="00A90F10">
        <w:rPr>
          <w:rFonts w:eastAsia="Arial" w:cs="Times New Roman"/>
          <w:i/>
        </w:rPr>
        <w:t>,</w:t>
      </w:r>
      <w:r w:rsidRPr="00BB5D46">
        <w:rPr>
          <w:rFonts w:eastAsia="Arial" w:cs="Times New Roman"/>
          <w:i/>
        </w:rPr>
        <w:t xml:space="preserve"> on </w:t>
      </w:r>
      <w:r w:rsidRPr="00A90F10">
        <w:rPr>
          <w:rFonts w:eastAsia="Arial" w:cs="Times New Roman"/>
          <w:i/>
        </w:rPr>
        <w:t xml:space="preserve">Monday </w:t>
      </w:r>
      <w:r w:rsidR="00A90F10" w:rsidRPr="00A90F10">
        <w:rPr>
          <w:rFonts w:eastAsia="Arial" w:cs="Times New Roman"/>
          <w:i/>
        </w:rPr>
        <w:t>2</w:t>
      </w:r>
      <w:r w:rsidR="00A90F10" w:rsidRPr="00A90F10">
        <w:rPr>
          <w:rFonts w:eastAsia="Arial" w:cs="Times New Roman"/>
          <w:i/>
          <w:vertAlign w:val="superscript"/>
        </w:rPr>
        <w:t>nd</w:t>
      </w:r>
      <w:r w:rsidRPr="00A90F10">
        <w:rPr>
          <w:rFonts w:eastAsia="Arial" w:cs="Times New Roman"/>
          <w:i/>
        </w:rPr>
        <w:t xml:space="preserve"> </w:t>
      </w:r>
      <w:r w:rsidR="00A90F10" w:rsidRPr="00A90F10">
        <w:rPr>
          <w:rFonts w:eastAsia="Arial" w:cs="Times New Roman"/>
          <w:i/>
        </w:rPr>
        <w:t>September</w:t>
      </w:r>
      <w:r w:rsidRPr="00A90F10">
        <w:rPr>
          <w:rFonts w:eastAsia="Arial" w:cs="Times New Roman"/>
          <w:i/>
        </w:rPr>
        <w:t xml:space="preserve"> Oz</w:t>
      </w:r>
      <w:r w:rsidRPr="00BB5D46">
        <w:rPr>
          <w:rFonts w:eastAsia="Arial" w:cs="Times New Roman"/>
          <w:i/>
        </w:rPr>
        <w:t xml:space="preserve"> time</w:t>
      </w:r>
      <w:r w:rsidR="00A90F10">
        <w:rPr>
          <w:rFonts w:eastAsia="Arial" w:cs="Times New Roman"/>
          <w:i/>
        </w:rPr>
        <w:t>,</w:t>
      </w:r>
      <w:r w:rsidRPr="00BB5D46">
        <w:rPr>
          <w:rFonts w:eastAsia="Arial" w:cs="Times New Roman"/>
          <w:i/>
        </w:rPr>
        <w:t xml:space="preserve"> will be published in the following Bulletin. Such comments may offer a novel extension to the view that has been put, an alternative and informed view, or offer a critique.</w:t>
      </w:r>
    </w:p>
    <w:p w:rsidR="009548EC" w:rsidRDefault="009548EC" w:rsidP="009548EC">
      <w:pPr>
        <w:rPr>
          <w:rFonts w:eastAsia="Arial" w:cs="Times New Roman"/>
          <w:i/>
        </w:rPr>
      </w:pPr>
    </w:p>
    <w:p w:rsidR="009548EC" w:rsidRPr="00BB5D46" w:rsidRDefault="009548EC" w:rsidP="009548EC">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w:t>
      </w:r>
      <w:r>
        <w:rPr>
          <w:rFonts w:eastAsia="Arial" w:cs="Times New Roman"/>
          <w:i/>
        </w:rPr>
        <w:t>, queries or comments,</w:t>
      </w:r>
      <w:r w:rsidRPr="00BB5D46">
        <w:rPr>
          <w:rFonts w:eastAsia="Arial" w:cs="Times New Roman"/>
          <w:i/>
        </w:rPr>
        <w:t xml:space="preserve"> on the topic of life quality, for distribution and discussion by members under these same conditions.</w:t>
      </w:r>
    </w:p>
    <w:p w:rsidR="009548EC" w:rsidRPr="00BB5D46" w:rsidRDefault="009548EC" w:rsidP="009548EC">
      <w:pPr>
        <w:rPr>
          <w:rFonts w:eastAsia="Arial" w:cs="Times New Roman"/>
          <w:i/>
        </w:rPr>
      </w:pPr>
    </w:p>
    <w:p w:rsidR="009548EC" w:rsidRPr="00BB5D46" w:rsidRDefault="009548EC" w:rsidP="009548EC">
      <w:pPr>
        <w:jc w:val="center"/>
        <w:rPr>
          <w:rFonts w:eastAsia="Arial" w:cs="Times New Roman"/>
          <w:b/>
          <w:sz w:val="32"/>
          <w:szCs w:val="32"/>
        </w:rPr>
      </w:pPr>
      <w:r>
        <w:rPr>
          <w:rFonts w:eastAsia="Arial" w:cs="Times New Roman"/>
          <w:b/>
          <w:sz w:val="32"/>
          <w:szCs w:val="32"/>
        </w:rPr>
        <w:t>Comments, Observations, and Questions</w:t>
      </w:r>
    </w:p>
    <w:p w:rsidR="009548EC" w:rsidRDefault="00057EF7" w:rsidP="009548EC">
      <w:pPr>
        <w:jc w:val="center"/>
        <w:rPr>
          <w:rFonts w:eastAsia="Arial" w:cs="Times New Roman"/>
        </w:rPr>
      </w:pPr>
      <w:r w:rsidRPr="00057EF7">
        <w:rPr>
          <w:rFonts w:eastAsia="Arial" w:cs="Times New Roman"/>
        </w:rPr>
        <w:t xml:space="preserve">Kimina Lyall </w:t>
      </w:r>
      <w:hyperlink r:id="rId126" w:history="1">
        <w:r w:rsidRPr="00057EF7">
          <w:rPr>
            <w:rStyle w:val="Hyperlink"/>
            <w:rFonts w:eastAsia="Arial" w:cs="Times New Roman"/>
          </w:rPr>
          <w:t>klyall@deakin.edu.au</w:t>
        </w:r>
      </w:hyperlink>
      <w:r>
        <w:rPr>
          <w:rFonts w:eastAsia="Arial" w:cs="Times New Roman"/>
        </w:rPr>
        <w:t xml:space="preserve"> draws our attention to the cartoon below. </w:t>
      </w:r>
      <w:proofErr w:type="spellStart"/>
      <w:r>
        <w:rPr>
          <w:rFonts w:eastAsia="Arial" w:cs="Times New Roman"/>
        </w:rPr>
        <w:t>Kimina</w:t>
      </w:r>
      <w:proofErr w:type="spellEnd"/>
      <w:r>
        <w:rPr>
          <w:rFonts w:eastAsia="Arial" w:cs="Times New Roman"/>
        </w:rPr>
        <w:t xml:space="preserve"> comments ‘Leunig understands </w:t>
      </w:r>
      <w:proofErr w:type="spellStart"/>
      <w:r>
        <w:rPr>
          <w:rFonts w:eastAsia="Arial" w:cs="Times New Roman"/>
        </w:rPr>
        <w:t>Homeostatically</w:t>
      </w:r>
      <w:proofErr w:type="spellEnd"/>
      <w:r>
        <w:rPr>
          <w:rFonts w:eastAsia="Arial" w:cs="Times New Roman"/>
        </w:rPr>
        <w:t xml:space="preserve"> Protected Mood!’ I agree.</w:t>
      </w:r>
    </w:p>
    <w:p w:rsidR="00057EF7" w:rsidRDefault="00057EF7" w:rsidP="009548EC">
      <w:pPr>
        <w:jc w:val="center"/>
        <w:rPr>
          <w:rFonts w:eastAsia="Arial" w:cs="Times New Roman"/>
        </w:rPr>
      </w:pPr>
    </w:p>
    <w:p w:rsidR="00057EF7" w:rsidRDefault="00057EF7" w:rsidP="009548EC">
      <w:pPr>
        <w:jc w:val="center"/>
        <w:rPr>
          <w:rFonts w:eastAsia="Arial" w:cs="Times New Roman"/>
        </w:rPr>
      </w:pPr>
      <w:r w:rsidRPr="00057EF7">
        <w:rPr>
          <w:rFonts w:eastAsia="Arial" w:cs="Times New Roman"/>
          <w:bCs/>
        </w:rPr>
        <w:t>Michael Leunig</w:t>
      </w:r>
      <w:r w:rsidRPr="00057EF7">
        <w:rPr>
          <w:rFonts w:eastAsia="Arial" w:cs="Times New Roman"/>
        </w:rPr>
        <w:t xml:space="preserve"> (born 2 June 1945), typically referred to as </w:t>
      </w:r>
      <w:r w:rsidRPr="00057EF7">
        <w:rPr>
          <w:rFonts w:eastAsia="Arial" w:cs="Times New Roman"/>
          <w:bCs/>
        </w:rPr>
        <w:t>Leunig</w:t>
      </w:r>
      <w:r w:rsidRPr="00057EF7">
        <w:rPr>
          <w:rFonts w:eastAsia="Arial" w:cs="Times New Roman"/>
        </w:rPr>
        <w:t xml:space="preserve"> (his signature on his cartoons), is an Australian </w:t>
      </w:r>
      <w:hyperlink r:id="rId127" w:tooltip="Cartoonist" w:history="1">
        <w:r w:rsidRPr="00057EF7">
          <w:rPr>
            <w:rStyle w:val="Hyperlink"/>
            <w:rFonts w:eastAsia="Arial" w:cs="Times New Roman"/>
            <w:color w:val="auto"/>
            <w:u w:val="none"/>
          </w:rPr>
          <w:t>cartoonist</w:t>
        </w:r>
      </w:hyperlink>
      <w:r w:rsidRPr="00057EF7">
        <w:rPr>
          <w:rFonts w:eastAsia="Arial" w:cs="Times New Roman"/>
        </w:rPr>
        <w:t xml:space="preserve">, poet and cultural commentator. He was declared an </w:t>
      </w:r>
      <w:hyperlink r:id="rId128" w:tooltip="Australian Living Treasures" w:history="1">
        <w:r w:rsidRPr="00057EF7">
          <w:rPr>
            <w:rStyle w:val="Hyperlink"/>
            <w:rFonts w:eastAsia="Arial" w:cs="Times New Roman"/>
            <w:color w:val="auto"/>
            <w:u w:val="none"/>
          </w:rPr>
          <w:t>Australian Living Treasure</w:t>
        </w:r>
      </w:hyperlink>
      <w:r w:rsidRPr="00057EF7">
        <w:rPr>
          <w:rFonts w:eastAsia="Arial" w:cs="Times New Roman"/>
        </w:rPr>
        <w:t xml:space="preserve"> by the </w:t>
      </w:r>
      <w:hyperlink r:id="rId129" w:tooltip="National Trust of Australia" w:history="1">
        <w:r w:rsidRPr="00057EF7">
          <w:rPr>
            <w:rStyle w:val="Hyperlink"/>
            <w:rFonts w:eastAsia="Arial" w:cs="Times New Roman"/>
            <w:color w:val="auto"/>
            <w:u w:val="none"/>
          </w:rPr>
          <w:t>National Trust of Australia</w:t>
        </w:r>
      </w:hyperlink>
      <w:r w:rsidRPr="00057EF7">
        <w:rPr>
          <w:rFonts w:eastAsia="Arial" w:cs="Times New Roman"/>
        </w:rPr>
        <w:t xml:space="preserve"> in 1999.</w:t>
      </w:r>
      <w:r w:rsidR="00774142">
        <w:rPr>
          <w:rFonts w:eastAsia="Arial" w:cs="Times New Roman"/>
        </w:rPr>
        <w:t xml:space="preserve"> See Wikipedia for more details.</w:t>
      </w:r>
    </w:p>
    <w:p w:rsidR="00057EF7" w:rsidRDefault="00057EF7" w:rsidP="009548EC">
      <w:pPr>
        <w:jc w:val="center"/>
        <w:rPr>
          <w:rFonts w:eastAsia="Arial" w:cs="Times New Roman"/>
        </w:rPr>
      </w:pPr>
    </w:p>
    <w:p w:rsidR="00057EF7" w:rsidRDefault="00057EF7" w:rsidP="009548EC">
      <w:pPr>
        <w:jc w:val="center"/>
        <w:rPr>
          <w:rFonts w:eastAsia="Arial" w:cs="Times New Roman"/>
        </w:rPr>
      </w:pPr>
      <w:r w:rsidRPr="00057EF7">
        <w:rPr>
          <w:rFonts w:eastAsia="Arial" w:cs="Times New Roman"/>
          <w:noProof/>
          <w:lang w:eastAsia="en-AU"/>
        </w:rPr>
        <w:lastRenderedPageBreak/>
        <w:drawing>
          <wp:inline distT="0" distB="0" distL="0" distR="0">
            <wp:extent cx="5731510" cy="3461726"/>
            <wp:effectExtent l="0" t="0" r="2540" b="5715"/>
            <wp:docPr id="3" name="Picture 3" descr="C:\Users\cummins\AppData\Local\Microsoft\Windows\INetCache\Content.Outlook\J9L3R4PZ\Seven types of ordinary happin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ummins\AppData\Local\Microsoft\Windows\INetCache\Content.Outlook\J9L3R4PZ\Seven types of ordinary happiness.jp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731510" cy="3461726"/>
                    </a:xfrm>
                    <a:prstGeom prst="rect">
                      <a:avLst/>
                    </a:prstGeom>
                    <a:noFill/>
                    <a:ln>
                      <a:noFill/>
                    </a:ln>
                  </pic:spPr>
                </pic:pic>
              </a:graphicData>
            </a:graphic>
          </wp:inline>
        </w:drawing>
      </w:r>
    </w:p>
    <w:p w:rsidR="00AC2C13" w:rsidRDefault="00AC2C13" w:rsidP="00AC2C13">
      <w:pPr>
        <w:jc w:val="center"/>
        <w:rPr>
          <w:rFonts w:eastAsia="Arial" w:cs="Times New Roman"/>
          <w:b/>
          <w:color w:val="000000"/>
          <w:sz w:val="32"/>
          <w:szCs w:val="32"/>
          <w:lang w:val="en-US"/>
        </w:rPr>
      </w:pPr>
    </w:p>
    <w:p w:rsidR="00AC2C13" w:rsidRPr="00AC2C13" w:rsidRDefault="00AC2C13" w:rsidP="00AC2C13">
      <w:pPr>
        <w:jc w:val="center"/>
        <w:rPr>
          <w:rFonts w:eastAsia="Arial" w:cs="Times New Roman"/>
          <w:b/>
          <w:color w:val="000000"/>
          <w:sz w:val="32"/>
          <w:szCs w:val="32"/>
          <w:lang w:val="en-US"/>
        </w:rPr>
      </w:pPr>
      <w:r w:rsidRPr="00AC2C13">
        <w:rPr>
          <w:rFonts w:eastAsia="Arial" w:cs="Times New Roman"/>
          <w:b/>
          <w:color w:val="000000"/>
          <w:sz w:val="32"/>
          <w:szCs w:val="32"/>
          <w:lang w:val="en-US"/>
        </w:rPr>
        <w:t xml:space="preserve">Media contribution by </w:t>
      </w:r>
      <w:proofErr w:type="spellStart"/>
      <w:r w:rsidRPr="00AC2C13">
        <w:rPr>
          <w:rFonts w:eastAsia="Arial" w:cs="Times New Roman"/>
          <w:b/>
          <w:color w:val="000000"/>
          <w:sz w:val="32"/>
          <w:szCs w:val="32"/>
          <w:lang w:val="en-US"/>
        </w:rPr>
        <w:t>ACQol</w:t>
      </w:r>
      <w:proofErr w:type="spellEnd"/>
      <w:r w:rsidRPr="00AC2C13">
        <w:rPr>
          <w:rFonts w:eastAsia="Arial" w:cs="Times New Roman"/>
          <w:b/>
          <w:color w:val="000000"/>
          <w:sz w:val="32"/>
          <w:szCs w:val="32"/>
          <w:lang w:val="en-US"/>
        </w:rPr>
        <w:t xml:space="preserve"> Member</w:t>
      </w:r>
    </w:p>
    <w:p w:rsidR="00AC2C13" w:rsidRDefault="00AC2C13" w:rsidP="00AC2C13">
      <w:pPr>
        <w:rPr>
          <w:rFonts w:eastAsia="Arial" w:cs="Times New Roman"/>
          <w:color w:val="000000"/>
          <w:lang w:val="en-US"/>
        </w:rPr>
      </w:pPr>
      <w:r w:rsidRPr="00AC2C13">
        <w:rPr>
          <w:rFonts w:eastAsia="Arial" w:cs="Times New Roman"/>
          <w:color w:val="000000"/>
          <w:lang w:val="en-US"/>
        </w:rPr>
        <w:t xml:space="preserve">Delyse Hutchinson </w:t>
      </w:r>
      <w:hyperlink r:id="rId131" w:history="1">
        <w:r w:rsidRPr="00E44E4A">
          <w:rPr>
            <w:rStyle w:val="Hyperlink"/>
            <w:rFonts w:eastAsia="Arial" w:cs="Times New Roman"/>
            <w:lang w:val="en-US"/>
          </w:rPr>
          <w:t>delyse.hutchinson@deakin.edu.au</w:t>
        </w:r>
      </w:hyperlink>
      <w:r>
        <w:rPr>
          <w:rFonts w:eastAsia="Arial" w:cs="Times New Roman"/>
          <w:color w:val="000000"/>
          <w:lang w:val="en-US"/>
        </w:rPr>
        <w:t xml:space="preserve"> was interviewed on ABC radio 28Aug19 in relation to</w:t>
      </w:r>
      <w:r w:rsidRPr="00AC2C13">
        <w:t xml:space="preserve"> </w:t>
      </w:r>
      <w:r>
        <w:t>a USA report ‘An</w:t>
      </w:r>
      <w:r w:rsidRPr="00AC2C13">
        <w:rPr>
          <w:rFonts w:eastAsia="Arial" w:cs="Times New Roman"/>
          <w:color w:val="000000"/>
          <w:lang w:val="en-US"/>
        </w:rPr>
        <w:t xml:space="preserve"> optimistic outlook 'means you live longer'</w:t>
      </w:r>
    </w:p>
    <w:p w:rsidR="00AC2C13" w:rsidRPr="00AC2C13" w:rsidRDefault="00DF3874" w:rsidP="00AC2C13">
      <w:pPr>
        <w:rPr>
          <w:rFonts w:ascii="Calibri" w:eastAsia="Calibri" w:hAnsi="Calibri" w:cs="Calibri"/>
          <w:sz w:val="22"/>
          <w:szCs w:val="22"/>
          <w:lang w:eastAsia="en-AU"/>
        </w:rPr>
      </w:pPr>
      <w:hyperlink r:id="rId132" w:history="1">
        <w:r w:rsidR="00AC2C13" w:rsidRPr="00AC2C13">
          <w:rPr>
            <w:rFonts w:ascii="Calibri" w:eastAsia="Calibri" w:hAnsi="Calibri" w:cs="Calibri"/>
            <w:color w:val="0563C1"/>
            <w:sz w:val="22"/>
            <w:szCs w:val="22"/>
            <w:u w:val="single"/>
            <w:lang w:eastAsia="en-AU"/>
          </w:rPr>
          <w:t>https://www.bbc.com/news/health-49447685</w:t>
        </w:r>
      </w:hyperlink>
      <w:r w:rsidR="00AC2C13">
        <w:rPr>
          <w:rFonts w:ascii="Calibri" w:eastAsia="Calibri" w:hAnsi="Calibri" w:cs="Calibri"/>
          <w:sz w:val="22"/>
          <w:szCs w:val="22"/>
          <w:lang w:eastAsia="en-AU"/>
        </w:rPr>
        <w:t xml:space="preserve">. </w:t>
      </w:r>
      <w:r w:rsidR="00AC2C13" w:rsidRPr="00AC2C13">
        <w:rPr>
          <w:rFonts w:eastAsia="Calibri" w:cs="Times New Roman"/>
          <w:lang w:eastAsia="en-AU"/>
        </w:rPr>
        <w:t>Delyse managed a plug for the Australian Unity Wellbeing Index.</w:t>
      </w:r>
    </w:p>
    <w:p w:rsidR="009548EC" w:rsidRPr="00BB5D46" w:rsidRDefault="009548EC" w:rsidP="00774142">
      <w:pPr>
        <w:rPr>
          <w:rFonts w:eastAsia="Arial" w:cs="Times New Roman"/>
          <w:b/>
          <w:color w:val="000000"/>
          <w:sz w:val="32"/>
          <w:szCs w:val="32"/>
          <w:lang w:val="en-US"/>
        </w:rPr>
      </w:pPr>
    </w:p>
    <w:p w:rsidR="009548EC" w:rsidRDefault="009548EC" w:rsidP="009548EC">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9548EC" w:rsidRDefault="009548EC" w:rsidP="005E2BFB">
      <w:pPr>
        <w:jc w:val="center"/>
        <w:rPr>
          <w:rFonts w:eastAsia="Calibri" w:cs="Times New Roman"/>
          <w:i/>
          <w:szCs w:val="22"/>
        </w:rPr>
      </w:pPr>
      <w:r w:rsidRPr="007F0718">
        <w:rPr>
          <w:rFonts w:eastAsia="Calibri" w:cs="Times New Roman"/>
          <w:i/>
          <w:szCs w:val="22"/>
        </w:rPr>
        <w:t>Sourced from the Analysis &amp; Policy Observatory</w:t>
      </w:r>
    </w:p>
    <w:p w:rsidR="005E2BFB" w:rsidRPr="005E2BFB" w:rsidRDefault="005E2BFB" w:rsidP="005E2BFB">
      <w:pPr>
        <w:jc w:val="center"/>
        <w:rPr>
          <w:rFonts w:eastAsia="Calibri" w:cs="Times New Roman"/>
          <w:i/>
          <w:szCs w:val="22"/>
        </w:rPr>
      </w:pPr>
    </w:p>
    <w:p w:rsidR="0006797F" w:rsidRPr="0006797F" w:rsidRDefault="0006797F" w:rsidP="009548EC">
      <w:pPr>
        <w:rPr>
          <w:rFonts w:eastAsia="Arial" w:cs="Times New Roman"/>
          <w:color w:val="000000"/>
          <w:sz w:val="22"/>
          <w:szCs w:val="22"/>
        </w:rPr>
      </w:pPr>
      <w:r w:rsidRPr="0006797F">
        <w:rPr>
          <w:rFonts w:eastAsia="Arial" w:cs="Times New Roman"/>
          <w:color w:val="000000"/>
          <w:sz w:val="22"/>
          <w:szCs w:val="22"/>
        </w:rPr>
        <w:t xml:space="preserve">Government of South Australia. (2019). </w:t>
      </w:r>
      <w:r w:rsidRPr="0006797F">
        <w:rPr>
          <w:rFonts w:eastAsia="Arial" w:cs="Times New Roman"/>
          <w:i/>
          <w:iCs/>
          <w:color w:val="000000"/>
          <w:sz w:val="22"/>
          <w:szCs w:val="22"/>
        </w:rPr>
        <w:t>Connected –A community approach to bullying prevention within the school gates and beyond’</w:t>
      </w:r>
      <w:r w:rsidRPr="0006797F">
        <w:rPr>
          <w:rFonts w:eastAsia="Arial" w:cs="Times New Roman"/>
          <w:color w:val="000000"/>
          <w:sz w:val="22"/>
          <w:szCs w:val="22"/>
        </w:rPr>
        <w:t xml:space="preserve">. Adelaide: Author </w:t>
      </w:r>
    </w:p>
    <w:p w:rsidR="0006797F" w:rsidRPr="0006797F" w:rsidRDefault="00DF3874" w:rsidP="009548EC">
      <w:pPr>
        <w:rPr>
          <w:rFonts w:eastAsia="Arial" w:cs="Times New Roman"/>
          <w:color w:val="000000"/>
          <w:sz w:val="22"/>
          <w:szCs w:val="22"/>
        </w:rPr>
      </w:pPr>
      <w:hyperlink r:id="rId133" w:history="1">
        <w:r w:rsidR="0006797F" w:rsidRPr="0006797F">
          <w:rPr>
            <w:rStyle w:val="Hyperlink"/>
            <w:rFonts w:eastAsia="Arial" w:cs="Times New Roman"/>
            <w:sz w:val="22"/>
            <w:szCs w:val="22"/>
          </w:rPr>
          <w:t>https://apo.org.au/sites/default/files/resource-files/2019/08/apo-nid253861-1380446.pdf</w:t>
        </w:r>
      </w:hyperlink>
      <w:r w:rsidR="0006797F" w:rsidRPr="0006797F">
        <w:rPr>
          <w:rFonts w:eastAsia="Arial" w:cs="Times New Roman"/>
          <w:color w:val="000000"/>
          <w:sz w:val="22"/>
          <w:szCs w:val="22"/>
        </w:rPr>
        <w:t>.</w:t>
      </w:r>
    </w:p>
    <w:p w:rsidR="0006797F" w:rsidRPr="0006797F" w:rsidRDefault="0006797F" w:rsidP="0006797F">
      <w:pPr>
        <w:pStyle w:val="Pa4"/>
        <w:spacing w:after="160"/>
        <w:rPr>
          <w:rFonts w:ascii="Times New Roman" w:hAnsi="Times New Roman" w:cs="Times New Roman"/>
          <w:b/>
          <w:bCs/>
          <w:color w:val="56575A"/>
        </w:rPr>
      </w:pPr>
    </w:p>
    <w:p w:rsidR="0006797F" w:rsidRPr="0006797F" w:rsidRDefault="0006797F" w:rsidP="0006797F">
      <w:pPr>
        <w:pStyle w:val="Pa4"/>
        <w:spacing w:after="160"/>
        <w:rPr>
          <w:rFonts w:ascii="Times New Roman" w:hAnsi="Times New Roman" w:cs="Times New Roman"/>
          <w:color w:val="56575A"/>
        </w:rPr>
      </w:pPr>
      <w:r w:rsidRPr="0006797F">
        <w:rPr>
          <w:rFonts w:ascii="Times New Roman" w:hAnsi="Times New Roman" w:cs="Times New Roman"/>
          <w:bCs/>
          <w:color w:val="56575A"/>
        </w:rPr>
        <w:t xml:space="preserve">In South Australia, student reports about their experiences of bullying are obtained as a part of the wellbeing and engagement collection administered annually. In 2018, this survey was completed by more than 75,000 students in years 4 to 10. </w:t>
      </w:r>
    </w:p>
    <w:p w:rsidR="009548EC" w:rsidRPr="0006797F" w:rsidRDefault="0006797F" w:rsidP="0006797F">
      <w:pPr>
        <w:rPr>
          <w:rFonts w:cs="Times New Roman"/>
        </w:rPr>
      </w:pPr>
      <w:r w:rsidRPr="0006797F">
        <w:rPr>
          <w:rFonts w:cs="Times New Roman"/>
          <w:color w:val="56575A"/>
        </w:rPr>
        <w:t>In 2018 18% of children and young people in SA schools reported being bullied at least once a week. Half of all students reported that they were bullied monthly and 32% reported that they were rarely bullied. There has been a modest increase in the number of children reporting that they were rarely bullied compared to 2015 data. Verbal and social bullying were the most common forms of bullying experienced.</w:t>
      </w:r>
    </w:p>
    <w:p w:rsidR="009548EC" w:rsidRDefault="009548EC" w:rsidP="009548EC">
      <w:pPr>
        <w:jc w:val="center"/>
        <w:rPr>
          <w:rFonts w:ascii="Helvetica" w:hAnsi="Helvetica" w:cs="Helvetica"/>
          <w:sz w:val="18"/>
          <w:szCs w:val="18"/>
        </w:rPr>
      </w:pPr>
    </w:p>
    <w:p w:rsidR="009548EC" w:rsidRPr="00CB131A" w:rsidRDefault="009548EC" w:rsidP="009548EC">
      <w:pPr>
        <w:jc w:val="center"/>
        <w:rPr>
          <w:rFonts w:eastAsia="Arial" w:cs="Times New Roman"/>
          <w:b/>
          <w:sz w:val="32"/>
          <w:szCs w:val="32"/>
        </w:rPr>
      </w:pPr>
      <w:r w:rsidRPr="00BB5D46">
        <w:rPr>
          <w:rFonts w:eastAsia="Arial" w:cs="Times New Roman"/>
          <w:b/>
          <w:sz w:val="32"/>
          <w:szCs w:val="32"/>
        </w:rPr>
        <w:t>Media news</w:t>
      </w:r>
    </w:p>
    <w:p w:rsidR="009548EC" w:rsidRPr="00CB131A" w:rsidRDefault="009548EC" w:rsidP="009548EC">
      <w:pPr>
        <w:jc w:val="center"/>
        <w:rPr>
          <w:rFonts w:eastAsia="Arial" w:cs="Times New Roman"/>
          <w:i/>
        </w:rPr>
      </w:pPr>
      <w:r w:rsidRPr="00CB131A">
        <w:rPr>
          <w:rFonts w:eastAsia="Arial" w:cs="Times New Roman"/>
          <w:i/>
        </w:rPr>
        <w:t>Tanika Roberts [</w:t>
      </w:r>
      <w:hyperlink r:id="rId134" w:history="1">
        <w:r w:rsidRPr="00CB131A">
          <w:rPr>
            <w:rStyle w:val="Hyperlink"/>
            <w:rFonts w:eastAsia="Arial" w:cs="Times New Roman"/>
            <w:i/>
          </w:rPr>
          <w:t>trobe@deakin.edu.au</w:t>
        </w:r>
      </w:hyperlink>
      <w:r w:rsidRPr="00CB131A">
        <w:rPr>
          <w:rFonts w:eastAsia="Arial" w:cs="Times New Roman"/>
          <w:i/>
        </w:rPr>
        <w:t>]</w:t>
      </w:r>
    </w:p>
    <w:p w:rsidR="009548EC" w:rsidRPr="00CB131A" w:rsidRDefault="009548EC" w:rsidP="009548EC">
      <w:pPr>
        <w:jc w:val="center"/>
        <w:rPr>
          <w:rFonts w:eastAsia="Arial" w:cs="Times New Roman"/>
          <w:i/>
        </w:rPr>
      </w:pPr>
      <w:r w:rsidRPr="00CB131A">
        <w:rPr>
          <w:rFonts w:eastAsia="Arial" w:cs="Times New Roman"/>
          <w:i/>
        </w:rPr>
        <w:t>Executive Volunteer, Bulletin Co-Editor– Media</w:t>
      </w:r>
    </w:p>
    <w:p w:rsidR="009548EC" w:rsidRDefault="009548EC" w:rsidP="009548EC">
      <w:pPr>
        <w:rPr>
          <w:rFonts w:eastAsia="Arial" w:cs="Times New Roman"/>
          <w:sz w:val="28"/>
          <w:szCs w:val="28"/>
        </w:rPr>
      </w:pPr>
    </w:p>
    <w:p w:rsidR="00611D53" w:rsidRPr="00611D53" w:rsidRDefault="00611D53" w:rsidP="00611D53">
      <w:pPr>
        <w:textAlignment w:val="baseline"/>
        <w:outlineLvl w:val="0"/>
        <w:rPr>
          <w:rFonts w:eastAsia="Times New Roman" w:cs="Times New Roman"/>
          <w:b/>
          <w:bCs/>
          <w:kern w:val="36"/>
          <w:sz w:val="48"/>
          <w:szCs w:val="48"/>
          <w:lang w:eastAsia="en-AU"/>
        </w:rPr>
      </w:pPr>
      <w:r w:rsidRPr="00611D53">
        <w:rPr>
          <w:rFonts w:eastAsia="Times New Roman" w:cs="Times New Roman"/>
          <w:b/>
          <w:bCs/>
          <w:color w:val="31313B"/>
          <w:kern w:val="36"/>
          <w:sz w:val="32"/>
          <w:szCs w:val="48"/>
          <w:lang w:eastAsia="en-AU"/>
        </w:rPr>
        <w:lastRenderedPageBreak/>
        <w:t>Why war’s emotional wounds run deeper for some kids and not others</w:t>
      </w:r>
    </w:p>
    <w:p w:rsidR="00611D53" w:rsidRPr="00611D53" w:rsidRDefault="00DF3874" w:rsidP="00611D53">
      <w:pPr>
        <w:rPr>
          <w:rFonts w:eastAsia="Calibri" w:cs="Times New Roman"/>
          <w:lang w:eastAsia="en-AU"/>
        </w:rPr>
      </w:pPr>
      <w:hyperlink r:id="rId135" w:history="1">
        <w:r w:rsidR="00611D53" w:rsidRPr="00611D53">
          <w:rPr>
            <w:rFonts w:eastAsia="Calibri" w:cs="Times New Roman"/>
            <w:color w:val="0000FF"/>
            <w:u w:val="single"/>
            <w:lang w:eastAsia="en-AU"/>
          </w:rPr>
          <w:t>https://www.sciencenews.org/article/war-emotional-wounds-ptsd-syria-refugee-children</w:t>
        </w:r>
      </w:hyperlink>
    </w:p>
    <w:p w:rsidR="00611D53" w:rsidRPr="00611D53" w:rsidRDefault="00611D53" w:rsidP="00611D53">
      <w:pPr>
        <w:rPr>
          <w:rFonts w:eastAsia="Calibri" w:cs="Times New Roman"/>
          <w:lang w:eastAsia="en-AU"/>
        </w:rPr>
      </w:pPr>
      <w:r w:rsidRPr="00611D53">
        <w:rPr>
          <w:rFonts w:eastAsia="Calibri" w:cs="Times New Roman"/>
          <w:bCs/>
          <w:color w:val="31313B"/>
          <w:bdr w:val="none" w:sz="0" w:space="0" w:color="auto" w:frame="1"/>
          <w:lang w:eastAsia="en-AU"/>
        </w:rPr>
        <w:t>Bruce Bower</w:t>
      </w:r>
    </w:p>
    <w:p w:rsidR="00611D53" w:rsidRDefault="00611D53" w:rsidP="00611D53">
      <w:pPr>
        <w:textAlignment w:val="baseline"/>
        <w:rPr>
          <w:rFonts w:eastAsia="Calibri" w:cs="Times New Roman"/>
          <w:color w:val="31313B"/>
          <w:shd w:val="clear" w:color="auto" w:fill="FFFFFF"/>
          <w:lang w:eastAsia="en-AU"/>
        </w:rPr>
      </w:pPr>
      <w:r w:rsidRPr="00611D53">
        <w:rPr>
          <w:rFonts w:eastAsia="Calibri" w:cs="Times New Roman"/>
          <w:color w:val="31313B"/>
          <w:lang w:eastAsia="en-AU"/>
        </w:rPr>
        <w:t>Most people who live through violent conflict and other extreme traumas experience emotional turmoil, but don’t develop PTSD. A minority suffer severe psychological wounds that don’t heal without outside help. Even then, there are no guarantees. A new investigation conducted with Syrian refugee youngsters in Lebanon offers a peek at </w:t>
      </w:r>
      <w:r w:rsidRPr="00611D53">
        <w:rPr>
          <w:rFonts w:eastAsia="Calibri" w:cs="Times New Roman"/>
          <w:color w:val="31313B"/>
          <w:bdr w:val="none" w:sz="0" w:space="0" w:color="auto" w:frame="1"/>
          <w:lang w:eastAsia="en-AU"/>
        </w:rPr>
        <w:t>why some kids emotionally rebound while others wilt</w:t>
      </w:r>
      <w:r w:rsidRPr="00611D53">
        <w:rPr>
          <w:rFonts w:eastAsia="Calibri" w:cs="Times New Roman"/>
          <w:color w:val="31313B"/>
          <w:lang w:eastAsia="en-AU"/>
        </w:rPr>
        <w:t> in the face of wartime horrors. </w:t>
      </w:r>
      <w:r w:rsidRPr="00611D53">
        <w:rPr>
          <w:rFonts w:eastAsia="Calibri" w:cs="Times New Roman"/>
          <w:color w:val="31313B"/>
          <w:shd w:val="clear" w:color="auto" w:fill="FFFFFF"/>
          <w:lang w:eastAsia="en-AU"/>
        </w:rPr>
        <w:t xml:space="preserve">“Highly sensitive children who are sheltered from early adversities end up being least prepared to cope with wartime experiences,” says </w:t>
      </w:r>
      <w:proofErr w:type="spellStart"/>
      <w:r w:rsidRPr="00611D53">
        <w:rPr>
          <w:rFonts w:eastAsia="Calibri" w:cs="Times New Roman"/>
          <w:color w:val="31313B"/>
          <w:shd w:val="clear" w:color="auto" w:fill="FFFFFF"/>
          <w:lang w:eastAsia="en-AU"/>
        </w:rPr>
        <w:t>Karam</w:t>
      </w:r>
      <w:proofErr w:type="spellEnd"/>
      <w:r w:rsidRPr="00611D53">
        <w:rPr>
          <w:rFonts w:eastAsia="Calibri" w:cs="Times New Roman"/>
          <w:color w:val="31313B"/>
          <w:shd w:val="clear" w:color="auto" w:fill="FFFFFF"/>
          <w:lang w:eastAsia="en-AU"/>
        </w:rPr>
        <w:t>. </w:t>
      </w:r>
    </w:p>
    <w:p w:rsidR="005E2BFB" w:rsidRDefault="005E2BFB" w:rsidP="00611D53">
      <w:pPr>
        <w:textAlignment w:val="baseline"/>
        <w:rPr>
          <w:rFonts w:eastAsia="Calibri" w:cs="Times New Roman"/>
          <w:color w:val="31313B"/>
          <w:shd w:val="clear" w:color="auto" w:fill="FFFFFF"/>
          <w:lang w:eastAsia="en-AU"/>
        </w:rPr>
      </w:pPr>
    </w:p>
    <w:p w:rsidR="009548EC" w:rsidRPr="00BB5D46" w:rsidRDefault="009548EC" w:rsidP="009548EC">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9548EC" w:rsidRDefault="00774142" w:rsidP="009548EC">
      <w:pPr>
        <w:jc w:val="center"/>
        <w:rPr>
          <w:rFonts w:eastAsia="Calibri" w:cs="Times New Roman"/>
          <w:szCs w:val="22"/>
        </w:rPr>
      </w:pPr>
      <w:r>
        <w:rPr>
          <w:rFonts w:eastAsia="Calibri" w:cs="Times New Roman"/>
          <w:szCs w:val="22"/>
        </w:rPr>
        <w:t>Sangeetha</w:t>
      </w:r>
      <w:r w:rsidR="009548EC" w:rsidRPr="00891D54">
        <w:rPr>
          <w:rFonts w:eastAsia="Calibri" w:cs="Times New Roman"/>
          <w:szCs w:val="22"/>
        </w:rPr>
        <w:t xml:space="preserve"> Thomas </w:t>
      </w:r>
      <w:r w:rsidRPr="00774142">
        <w:rPr>
          <w:rFonts w:eastAsia="Calibri" w:cs="Times New Roman"/>
          <w:szCs w:val="22"/>
        </w:rPr>
        <w:t>&lt;thomassa@deakin.edu.au&gt;</w:t>
      </w:r>
      <w:r w:rsidR="009548EC">
        <w:rPr>
          <w:rFonts w:eastAsia="Calibri" w:cs="Times New Roman"/>
          <w:szCs w:val="22"/>
        </w:rPr>
        <w:fldChar w:fldCharType="begin"/>
      </w:r>
      <w:r w:rsidR="009548EC">
        <w:rPr>
          <w:rFonts w:eastAsia="Calibri" w:cs="Times New Roman"/>
          <w:szCs w:val="22"/>
        </w:rPr>
        <w:instrText xml:space="preserve">simonet@deakin.edu.au" </w:instrText>
      </w:r>
      <w:r w:rsidR="009548EC">
        <w:rPr>
          <w:rFonts w:eastAsia="Calibri" w:cs="Times New Roman"/>
          <w:szCs w:val="22"/>
        </w:rPr>
        <w:fldChar w:fldCharType="separate"/>
      </w:r>
      <w:r w:rsidR="009548EC" w:rsidRPr="00B56AC3">
        <w:rPr>
          <w:rFonts w:eastAsia="Calibri" w:cs="Times New Roman"/>
          <w:szCs w:val="22"/>
        </w:rPr>
        <w:t>simonet@deakin.edu.au</w:t>
      </w:r>
      <w:r w:rsidR="009548EC">
        <w:rPr>
          <w:rFonts w:eastAsia="Calibri" w:cs="Times New Roman"/>
          <w:szCs w:val="22"/>
        </w:rPr>
        <w:fldChar w:fldCharType="end"/>
      </w:r>
    </w:p>
    <w:p w:rsidR="009548EC" w:rsidRPr="00BB5D46" w:rsidRDefault="009548EC" w:rsidP="009548EC">
      <w:pPr>
        <w:jc w:val="center"/>
        <w:rPr>
          <w:rFonts w:eastAsia="Calibri" w:cs="Times New Roman"/>
          <w:i/>
          <w:szCs w:val="22"/>
        </w:rPr>
      </w:pPr>
      <w:r w:rsidRPr="00BB5D46">
        <w:rPr>
          <w:rFonts w:eastAsia="Calibri" w:cs="Times New Roman"/>
          <w:i/>
          <w:szCs w:val="22"/>
        </w:rPr>
        <w:t>Membership Registrar</w:t>
      </w:r>
    </w:p>
    <w:p w:rsidR="00774142" w:rsidRPr="00774142" w:rsidRDefault="009548EC" w:rsidP="00774142">
      <w:pPr>
        <w:rPr>
          <w:rFonts w:eastAsia="Calibri" w:cs="Times New Roman"/>
          <w:i/>
          <w:szCs w:val="22"/>
        </w:rPr>
      </w:pPr>
      <w:r w:rsidRPr="00BB5D46">
        <w:rPr>
          <w:rFonts w:eastAsia="Times New Roman" w:cs="Times New Roman"/>
          <w:b/>
          <w:sz w:val="32"/>
          <w:szCs w:val="32"/>
          <w:lang w:val="en-US"/>
        </w:rPr>
        <w:t>Welcome to new members</w:t>
      </w:r>
    </w:p>
    <w:p w:rsidR="00774142" w:rsidRPr="00774142" w:rsidRDefault="00DF3874" w:rsidP="00774142">
      <w:pPr>
        <w:rPr>
          <w:rFonts w:eastAsia="DengXian" w:cs="Times New Roman"/>
          <w:b/>
          <w:lang w:eastAsia="zh-CN"/>
        </w:rPr>
      </w:pPr>
      <w:hyperlink r:id="rId136" w:history="1">
        <w:r w:rsidR="00774142" w:rsidRPr="00774142">
          <w:rPr>
            <w:rFonts w:eastAsia="DengXian" w:cs="Times New Roman"/>
            <w:b/>
            <w:color w:val="0000FF"/>
            <w:u w:val="single"/>
            <w:lang w:eastAsia="zh-CN"/>
          </w:rPr>
          <w:t>Ms Joanna Giannes</w:t>
        </w:r>
      </w:hyperlink>
    </w:p>
    <w:p w:rsidR="00774142" w:rsidRPr="00774142" w:rsidRDefault="00774142" w:rsidP="00774142">
      <w:pPr>
        <w:rPr>
          <w:rFonts w:eastAsia="DengXian" w:cs="Times New Roman"/>
          <w:lang w:eastAsia="zh-CN"/>
        </w:rPr>
      </w:pPr>
      <w:r w:rsidRPr="00774142">
        <w:rPr>
          <w:rFonts w:eastAsia="DengXian" w:cs="Times New Roman"/>
          <w:lang w:eastAsia="zh-CN"/>
        </w:rPr>
        <w:t>Principal, Sofia Leaders</w:t>
      </w:r>
    </w:p>
    <w:p w:rsidR="00774142" w:rsidRPr="00774142" w:rsidRDefault="00774142" w:rsidP="00774142">
      <w:pPr>
        <w:rPr>
          <w:rFonts w:eastAsia="DengXian" w:cs="Times New Roman"/>
          <w:lang w:eastAsia="zh-CN"/>
        </w:rPr>
      </w:pPr>
      <w:r w:rsidRPr="00774142">
        <w:rPr>
          <w:rFonts w:eastAsia="DengXian" w:cs="Times New Roman"/>
          <w:b/>
          <w:bCs/>
          <w:lang w:eastAsia="zh-CN"/>
        </w:rPr>
        <w:t>Keywords:</w:t>
      </w:r>
      <w:r w:rsidRPr="00774142">
        <w:rPr>
          <w:rFonts w:eastAsia="DengXian" w:cs="Times New Roman"/>
          <w:lang w:eastAsia="zh-CN"/>
        </w:rPr>
        <w:t xml:space="preserve"> Health and Wellbeing</w:t>
      </w:r>
    </w:p>
    <w:p w:rsidR="00774142" w:rsidRPr="00774142" w:rsidRDefault="00774142" w:rsidP="00774142">
      <w:pPr>
        <w:rPr>
          <w:rFonts w:ascii="Calibri" w:eastAsia="DengXian" w:hAnsi="Calibri" w:cs="Arial"/>
          <w:sz w:val="22"/>
          <w:szCs w:val="22"/>
          <w:lang w:eastAsia="zh-CN"/>
        </w:rPr>
      </w:pPr>
    </w:p>
    <w:p w:rsidR="00774142" w:rsidRPr="00774142" w:rsidRDefault="00DF3874" w:rsidP="00774142">
      <w:pPr>
        <w:rPr>
          <w:rFonts w:eastAsia="DengXian" w:cs="Times New Roman"/>
          <w:b/>
          <w:lang w:eastAsia="zh-CN"/>
        </w:rPr>
      </w:pPr>
      <w:hyperlink r:id="rId137" w:history="1">
        <w:r w:rsidR="00774142" w:rsidRPr="00774142">
          <w:rPr>
            <w:rFonts w:eastAsia="DengXian" w:cs="Times New Roman"/>
            <w:b/>
            <w:color w:val="0000FF"/>
            <w:u w:val="single"/>
            <w:lang w:eastAsia="zh-CN"/>
          </w:rPr>
          <w:t>Dr Mark Fabian</w:t>
        </w:r>
      </w:hyperlink>
    </w:p>
    <w:p w:rsidR="00774142" w:rsidRPr="00774142" w:rsidRDefault="00774142" w:rsidP="00774142">
      <w:pPr>
        <w:rPr>
          <w:rFonts w:eastAsia="DengXian" w:cs="Times New Roman"/>
          <w:lang w:eastAsia="zh-CN"/>
        </w:rPr>
      </w:pPr>
      <w:r w:rsidRPr="00774142">
        <w:rPr>
          <w:rFonts w:eastAsia="DengXian" w:cs="Times New Roman"/>
          <w:lang w:eastAsia="zh-CN"/>
        </w:rPr>
        <w:t>Adjunct Lecturer, Australian National University</w:t>
      </w:r>
    </w:p>
    <w:p w:rsidR="00774142" w:rsidRPr="00774142" w:rsidRDefault="00774142" w:rsidP="00774142">
      <w:pPr>
        <w:rPr>
          <w:rFonts w:eastAsia="DengXian" w:cs="Times New Roman"/>
          <w:lang w:eastAsia="zh-CN"/>
        </w:rPr>
      </w:pPr>
      <w:r w:rsidRPr="00774142">
        <w:rPr>
          <w:rFonts w:eastAsia="DengXian" w:cs="Times New Roman"/>
          <w:b/>
          <w:bCs/>
          <w:lang w:eastAsia="zh-CN"/>
        </w:rPr>
        <w:t>Keywords:</w:t>
      </w:r>
      <w:r w:rsidRPr="00774142">
        <w:rPr>
          <w:rFonts w:eastAsia="DengXian" w:cs="Times New Roman"/>
          <w:lang w:eastAsia="zh-CN"/>
        </w:rPr>
        <w:t xml:space="preserve"> Subjective well-being, Eudaimonia, </w:t>
      </w:r>
      <w:proofErr w:type="spellStart"/>
      <w:r w:rsidRPr="00774142">
        <w:rPr>
          <w:rFonts w:eastAsia="DengXian" w:cs="Times New Roman"/>
          <w:lang w:eastAsia="zh-CN"/>
        </w:rPr>
        <w:t>Hedonia</w:t>
      </w:r>
      <w:proofErr w:type="spellEnd"/>
      <w:r w:rsidRPr="00774142">
        <w:rPr>
          <w:rFonts w:eastAsia="DengXian" w:cs="Times New Roman"/>
          <w:lang w:eastAsia="zh-CN"/>
        </w:rPr>
        <w:t>, Meaning</w:t>
      </w:r>
    </w:p>
    <w:p w:rsidR="00774142" w:rsidRPr="00774142" w:rsidRDefault="00774142" w:rsidP="00774142">
      <w:pPr>
        <w:rPr>
          <w:rFonts w:ascii="Calibri" w:eastAsia="DengXian" w:hAnsi="Calibri" w:cs="Arial"/>
          <w:sz w:val="22"/>
          <w:szCs w:val="22"/>
          <w:lang w:eastAsia="zh-CN"/>
        </w:rPr>
      </w:pPr>
    </w:p>
    <w:p w:rsidR="00774142" w:rsidRPr="00774142" w:rsidRDefault="00DF3874" w:rsidP="00774142">
      <w:pPr>
        <w:rPr>
          <w:rFonts w:eastAsia="DengXian" w:cs="Times New Roman"/>
          <w:b/>
          <w:lang w:eastAsia="zh-CN"/>
        </w:rPr>
      </w:pPr>
      <w:hyperlink r:id="rId138" w:history="1">
        <w:r w:rsidR="00774142" w:rsidRPr="00774142">
          <w:rPr>
            <w:rFonts w:eastAsia="DengXian" w:cs="Times New Roman"/>
            <w:b/>
            <w:color w:val="0000FF"/>
            <w:u w:val="single"/>
            <w:lang w:eastAsia="zh-CN"/>
          </w:rPr>
          <w:t>Professor Simplice Asongu</w:t>
        </w:r>
      </w:hyperlink>
    </w:p>
    <w:p w:rsidR="00774142" w:rsidRPr="00774142" w:rsidRDefault="00774142" w:rsidP="00774142">
      <w:pPr>
        <w:rPr>
          <w:rFonts w:eastAsia="DengXian" w:cs="Times New Roman"/>
          <w:lang w:eastAsia="zh-CN"/>
        </w:rPr>
      </w:pPr>
      <w:r w:rsidRPr="00774142">
        <w:rPr>
          <w:rFonts w:eastAsia="DengXian" w:cs="Times New Roman"/>
          <w:lang w:eastAsia="zh-CN"/>
        </w:rPr>
        <w:t xml:space="preserve">Lead Economist and Director, European </w:t>
      </w:r>
      <w:proofErr w:type="spellStart"/>
      <w:r w:rsidRPr="00774142">
        <w:rPr>
          <w:rFonts w:eastAsia="DengXian" w:cs="Times New Roman"/>
          <w:lang w:eastAsia="zh-CN"/>
        </w:rPr>
        <w:t>Xtramile</w:t>
      </w:r>
      <w:proofErr w:type="spellEnd"/>
      <w:r w:rsidRPr="00774142">
        <w:rPr>
          <w:rFonts w:eastAsia="DengXian" w:cs="Times New Roman"/>
          <w:lang w:eastAsia="zh-CN"/>
        </w:rPr>
        <w:t xml:space="preserve"> Centre of African Studies</w:t>
      </w:r>
    </w:p>
    <w:p w:rsidR="00774142" w:rsidRPr="00774142" w:rsidRDefault="00774142" w:rsidP="00774142">
      <w:pPr>
        <w:rPr>
          <w:rFonts w:eastAsia="DengXian" w:cs="Times New Roman"/>
          <w:lang w:eastAsia="zh-CN"/>
        </w:rPr>
      </w:pPr>
      <w:r w:rsidRPr="00774142">
        <w:rPr>
          <w:rFonts w:eastAsia="DengXian" w:cs="Times New Roman"/>
          <w:b/>
          <w:bCs/>
          <w:lang w:eastAsia="zh-CN"/>
        </w:rPr>
        <w:t>Keywords:</w:t>
      </w:r>
      <w:r w:rsidRPr="00774142">
        <w:rPr>
          <w:rFonts w:eastAsia="DengXian" w:cs="Times New Roman"/>
          <w:lang w:eastAsia="zh-CN"/>
        </w:rPr>
        <w:t xml:space="preserve"> Inclusive human development; Africa</w:t>
      </w:r>
    </w:p>
    <w:p w:rsidR="00774142" w:rsidRPr="00774142" w:rsidRDefault="00774142" w:rsidP="00774142">
      <w:pPr>
        <w:rPr>
          <w:rFonts w:ascii="Calibri" w:eastAsia="DengXian" w:hAnsi="Calibri" w:cs="Arial"/>
          <w:sz w:val="22"/>
          <w:szCs w:val="22"/>
          <w:lang w:eastAsia="zh-CN"/>
        </w:rPr>
      </w:pPr>
    </w:p>
    <w:p w:rsidR="00774142" w:rsidRPr="00774142" w:rsidRDefault="00DF3874" w:rsidP="00774142">
      <w:pPr>
        <w:rPr>
          <w:rFonts w:eastAsia="DengXian" w:cs="Times New Roman"/>
          <w:b/>
          <w:lang w:eastAsia="zh-CN"/>
        </w:rPr>
      </w:pPr>
      <w:hyperlink r:id="rId139" w:history="1">
        <w:proofErr w:type="spellStart"/>
        <w:r w:rsidR="00774142" w:rsidRPr="00774142">
          <w:rPr>
            <w:rFonts w:eastAsia="DengXian" w:cs="Times New Roman"/>
            <w:b/>
            <w:color w:val="0000FF"/>
            <w:u w:val="single"/>
            <w:lang w:eastAsia="zh-CN"/>
          </w:rPr>
          <w:t>Dr.</w:t>
        </w:r>
        <w:proofErr w:type="spellEnd"/>
        <w:r w:rsidR="00774142" w:rsidRPr="00774142">
          <w:rPr>
            <w:rFonts w:eastAsia="DengXian" w:cs="Times New Roman"/>
            <w:b/>
            <w:color w:val="0000FF"/>
            <w:u w:val="single"/>
            <w:lang w:eastAsia="zh-CN"/>
          </w:rPr>
          <w:t xml:space="preserve"> Kreg Lindberg</w:t>
        </w:r>
      </w:hyperlink>
    </w:p>
    <w:p w:rsidR="00774142" w:rsidRPr="00774142" w:rsidRDefault="00774142" w:rsidP="00774142">
      <w:pPr>
        <w:rPr>
          <w:rFonts w:eastAsia="DengXian" w:cs="Times New Roman"/>
          <w:lang w:eastAsia="zh-CN"/>
        </w:rPr>
      </w:pPr>
      <w:r w:rsidRPr="00774142">
        <w:rPr>
          <w:rFonts w:eastAsia="DengXian" w:cs="Times New Roman"/>
          <w:lang w:eastAsia="zh-CN"/>
        </w:rPr>
        <w:t>Associate Professor, Oregon State University</w:t>
      </w:r>
    </w:p>
    <w:p w:rsidR="00774142" w:rsidRPr="00774142" w:rsidRDefault="00774142" w:rsidP="00774142">
      <w:pPr>
        <w:rPr>
          <w:rFonts w:eastAsia="DengXian" w:cs="Times New Roman"/>
          <w:lang w:eastAsia="zh-CN"/>
        </w:rPr>
      </w:pPr>
      <w:r w:rsidRPr="00774142">
        <w:rPr>
          <w:rFonts w:eastAsia="DengXian" w:cs="Times New Roman"/>
          <w:b/>
          <w:bCs/>
          <w:lang w:eastAsia="zh-CN"/>
        </w:rPr>
        <w:t>Keywords:</w:t>
      </w:r>
      <w:r w:rsidRPr="00774142">
        <w:rPr>
          <w:rFonts w:eastAsia="DengXian" w:cs="Times New Roman"/>
          <w:lang w:eastAsia="zh-CN"/>
        </w:rPr>
        <w:t xml:space="preserve"> Measurement, Policy</w:t>
      </w:r>
    </w:p>
    <w:p w:rsidR="00774142" w:rsidRPr="00774142" w:rsidRDefault="00774142" w:rsidP="00774142">
      <w:pPr>
        <w:rPr>
          <w:rFonts w:ascii="Calibri" w:eastAsia="DengXian" w:hAnsi="Calibri" w:cs="Arial"/>
          <w:sz w:val="22"/>
          <w:szCs w:val="22"/>
          <w:lang w:eastAsia="zh-CN"/>
        </w:rPr>
      </w:pPr>
    </w:p>
    <w:p w:rsidR="00774142" w:rsidRPr="00774142" w:rsidRDefault="00DF3874" w:rsidP="00774142">
      <w:pPr>
        <w:rPr>
          <w:rFonts w:eastAsia="DengXian" w:cs="Times New Roman"/>
          <w:b/>
          <w:lang w:eastAsia="zh-CN"/>
        </w:rPr>
      </w:pPr>
      <w:hyperlink r:id="rId140" w:history="1">
        <w:proofErr w:type="spellStart"/>
        <w:r w:rsidR="00774142" w:rsidRPr="00774142">
          <w:rPr>
            <w:rFonts w:eastAsia="DengXian" w:cs="Times New Roman"/>
            <w:b/>
            <w:color w:val="0000FF"/>
            <w:u w:val="single"/>
            <w:lang w:eastAsia="zh-CN"/>
          </w:rPr>
          <w:t>Dr.Irene</w:t>
        </w:r>
        <w:proofErr w:type="spellEnd"/>
        <w:r w:rsidR="00774142" w:rsidRPr="00774142">
          <w:rPr>
            <w:rFonts w:eastAsia="DengXian" w:cs="Times New Roman"/>
            <w:b/>
            <w:color w:val="0000FF"/>
            <w:u w:val="single"/>
            <w:lang w:eastAsia="zh-CN"/>
          </w:rPr>
          <w:t xml:space="preserve"> </w:t>
        </w:r>
        <w:proofErr w:type="spellStart"/>
        <w:r w:rsidR="00774142" w:rsidRPr="00774142">
          <w:rPr>
            <w:rFonts w:eastAsia="DengXian" w:cs="Times New Roman"/>
            <w:b/>
            <w:color w:val="0000FF"/>
            <w:u w:val="single"/>
            <w:lang w:eastAsia="zh-CN"/>
          </w:rPr>
          <w:t>Daskalopoulou</w:t>
        </w:r>
        <w:proofErr w:type="spellEnd"/>
      </w:hyperlink>
    </w:p>
    <w:p w:rsidR="00774142" w:rsidRPr="00774142" w:rsidRDefault="00774142" w:rsidP="00774142">
      <w:pPr>
        <w:rPr>
          <w:rFonts w:eastAsia="DengXian" w:cs="Times New Roman"/>
          <w:lang w:eastAsia="zh-CN"/>
        </w:rPr>
      </w:pPr>
      <w:r w:rsidRPr="00774142">
        <w:rPr>
          <w:rFonts w:eastAsia="DengXian" w:cs="Times New Roman"/>
          <w:lang w:eastAsia="zh-CN"/>
        </w:rPr>
        <w:t>Assistant Professor, University of the Peloponnese</w:t>
      </w:r>
    </w:p>
    <w:p w:rsidR="00774142" w:rsidRPr="00774142" w:rsidRDefault="00774142" w:rsidP="00774142">
      <w:pPr>
        <w:rPr>
          <w:rFonts w:eastAsia="DengXian" w:cs="Times New Roman"/>
          <w:lang w:eastAsia="zh-CN"/>
        </w:rPr>
      </w:pPr>
      <w:r w:rsidRPr="00774142">
        <w:rPr>
          <w:rFonts w:eastAsia="DengXian" w:cs="Times New Roman"/>
          <w:b/>
          <w:bCs/>
          <w:lang w:eastAsia="zh-CN"/>
        </w:rPr>
        <w:t>Keywords:</w:t>
      </w:r>
      <w:r w:rsidRPr="00774142">
        <w:rPr>
          <w:rFonts w:eastAsia="DengXian" w:cs="Times New Roman"/>
          <w:lang w:eastAsia="zh-CN"/>
        </w:rPr>
        <w:t xml:space="preserve"> Applied microeconomics; Consumer </w:t>
      </w:r>
      <w:proofErr w:type="spellStart"/>
      <w:r w:rsidRPr="00774142">
        <w:rPr>
          <w:rFonts w:eastAsia="DengXian" w:cs="Times New Roman"/>
          <w:lang w:eastAsia="zh-CN"/>
        </w:rPr>
        <w:t>behavior</w:t>
      </w:r>
      <w:proofErr w:type="spellEnd"/>
      <w:r w:rsidRPr="00774142">
        <w:rPr>
          <w:rFonts w:eastAsia="DengXian" w:cs="Times New Roman"/>
          <w:lang w:eastAsia="zh-CN"/>
        </w:rPr>
        <w:t>; Satisfaction; Social capital; Wellbeing</w:t>
      </w:r>
    </w:p>
    <w:p w:rsidR="009548EC" w:rsidRPr="00BB5D46" w:rsidRDefault="009548EC" w:rsidP="009548EC">
      <w:pPr>
        <w:rPr>
          <w:rFonts w:eastAsia="Calibri" w:cs="Times New Roman"/>
          <w:i/>
          <w:szCs w:val="22"/>
          <w:u w:val="single"/>
        </w:rPr>
      </w:pPr>
    </w:p>
    <w:p w:rsidR="009548EC" w:rsidRDefault="009548EC" w:rsidP="009548EC">
      <w:pPr>
        <w:pStyle w:val="NormalWeb"/>
        <w:rPr>
          <w:rFonts w:ascii="Arial" w:hAnsi="Arial" w:cs="Arial"/>
          <w:b/>
          <w:color w:val="000000"/>
          <w:sz w:val="20"/>
          <w:szCs w:val="20"/>
        </w:rPr>
      </w:pPr>
      <w:r>
        <w:rPr>
          <w:rFonts w:ascii="Arial" w:hAnsi="Arial" w:cs="Arial"/>
          <w:b/>
          <w:color w:val="000000"/>
          <w:sz w:val="20"/>
          <w:szCs w:val="20"/>
        </w:rPr>
        <w:t>-----------------------</w:t>
      </w:r>
    </w:p>
    <w:p w:rsidR="009548EC" w:rsidRPr="002C296F" w:rsidRDefault="009548EC" w:rsidP="009548EC">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6F0D33" w:rsidRPr="006F0D33" w:rsidRDefault="006F0D33" w:rsidP="006F0D33">
      <w:pPr>
        <w:pStyle w:val="EndNoteBibliography"/>
        <w:ind w:left="720" w:hanging="720"/>
        <w:rPr>
          <w:sz w:val="22"/>
          <w:szCs w:val="22"/>
        </w:rPr>
      </w:pPr>
      <w:r w:rsidRPr="006F0D33">
        <w:rPr>
          <w:sz w:val="22"/>
          <w:szCs w:val="22"/>
        </w:rPr>
        <w:fldChar w:fldCharType="begin"/>
      </w:r>
      <w:r w:rsidRPr="006F0D33">
        <w:rPr>
          <w:sz w:val="22"/>
          <w:szCs w:val="22"/>
        </w:rPr>
        <w:instrText xml:space="preserve"> ADDIN EN.REFLIST </w:instrText>
      </w:r>
      <w:r w:rsidRPr="006F0D33">
        <w:rPr>
          <w:sz w:val="22"/>
          <w:szCs w:val="22"/>
        </w:rPr>
        <w:fldChar w:fldCharType="separate"/>
      </w:r>
      <w:r w:rsidRPr="006F0D33">
        <w:rPr>
          <w:sz w:val="22"/>
          <w:szCs w:val="22"/>
        </w:rPr>
        <w:t xml:space="preserve">Alvesson, M., &amp; Einola, K. (2019). Warning for excessive positivity: Authentic leadership and other traps in leadership studies. </w:t>
      </w:r>
      <w:r w:rsidRPr="006F0D33">
        <w:rPr>
          <w:i/>
          <w:sz w:val="22"/>
          <w:szCs w:val="22"/>
        </w:rPr>
        <w:t>The Leadership Quarterly, 30</w:t>
      </w:r>
      <w:r w:rsidRPr="006F0D33">
        <w:rPr>
          <w:sz w:val="22"/>
          <w:szCs w:val="22"/>
        </w:rPr>
        <w:t xml:space="preserve">, 383-395. </w:t>
      </w:r>
    </w:p>
    <w:p w:rsidR="006F0D33" w:rsidRPr="006F0D33" w:rsidRDefault="006F0D33" w:rsidP="006F0D33">
      <w:pPr>
        <w:pStyle w:val="EndNoteBibliography"/>
        <w:ind w:left="720" w:hanging="720"/>
        <w:rPr>
          <w:sz w:val="22"/>
          <w:szCs w:val="22"/>
        </w:rPr>
      </w:pPr>
      <w:r w:rsidRPr="006F0D33">
        <w:rPr>
          <w:sz w:val="22"/>
          <w:szCs w:val="22"/>
        </w:rPr>
        <w:t xml:space="preserve">Anglim, J., Weinberg, M. K., &amp; Cummins, R. A. (2015). Bayesian hierarchical modeling of the temporal dynamics of subjective well-being: A 10 year longitudinal analysis. </w:t>
      </w:r>
      <w:r w:rsidRPr="006F0D33">
        <w:rPr>
          <w:i/>
          <w:sz w:val="22"/>
          <w:szCs w:val="22"/>
        </w:rPr>
        <w:t>Journal of Research in Personality, 59</w:t>
      </w:r>
      <w:r w:rsidRPr="006F0D33">
        <w:rPr>
          <w:sz w:val="22"/>
          <w:szCs w:val="22"/>
        </w:rPr>
        <w:t>(3), 1-14. doi:10.1016/j.jrp.2015.08.003</w:t>
      </w:r>
    </w:p>
    <w:p w:rsidR="006F0D33" w:rsidRPr="006F0D33" w:rsidRDefault="006F0D33" w:rsidP="006F0D33">
      <w:pPr>
        <w:pStyle w:val="EndNoteBibliography"/>
        <w:ind w:left="720" w:hanging="720"/>
        <w:rPr>
          <w:sz w:val="22"/>
          <w:szCs w:val="22"/>
        </w:rPr>
      </w:pPr>
      <w:r w:rsidRPr="006F0D33">
        <w:rPr>
          <w:sz w:val="22"/>
          <w:szCs w:val="22"/>
        </w:rPr>
        <w:t xml:space="preserve">Avolio, B. J., &amp; Gardner, W. L. (2005). Authentic leadership development: Getting to the root of positive forms of leadership. </w:t>
      </w:r>
      <w:r w:rsidRPr="006F0D33">
        <w:rPr>
          <w:i/>
          <w:sz w:val="22"/>
          <w:szCs w:val="22"/>
        </w:rPr>
        <w:t>The Leadership Quarterly, 16</w:t>
      </w:r>
      <w:r w:rsidRPr="006F0D33">
        <w:rPr>
          <w:sz w:val="22"/>
          <w:szCs w:val="22"/>
        </w:rPr>
        <w:t xml:space="preserve">(3), 315-338. </w:t>
      </w:r>
    </w:p>
    <w:p w:rsidR="006F0D33" w:rsidRPr="006F0D33" w:rsidRDefault="006F0D33" w:rsidP="006F0D33">
      <w:pPr>
        <w:pStyle w:val="EndNoteBibliography"/>
        <w:ind w:left="720" w:hanging="720"/>
        <w:rPr>
          <w:sz w:val="22"/>
          <w:szCs w:val="22"/>
        </w:rPr>
      </w:pPr>
      <w:r w:rsidRPr="006F0D33">
        <w:rPr>
          <w:sz w:val="22"/>
          <w:szCs w:val="22"/>
        </w:rPr>
        <w:t xml:space="preserve">Capic, T., Li, N., &amp; Cummins, R. A. (2018). Confirmation of Subjective Wellbeing Set-points: Foundational for Subjective Social Indicators. </w:t>
      </w:r>
      <w:r w:rsidRPr="006F0D33">
        <w:rPr>
          <w:i/>
          <w:sz w:val="22"/>
          <w:szCs w:val="22"/>
        </w:rPr>
        <w:t>Social Indicators Research, 137</w:t>
      </w:r>
      <w:r w:rsidRPr="006F0D33">
        <w:rPr>
          <w:sz w:val="22"/>
          <w:szCs w:val="22"/>
        </w:rPr>
        <w:t xml:space="preserve">(1), 1-28. Retrieved from 10.1007/s11205-017-1585-5. </w:t>
      </w:r>
    </w:p>
    <w:p w:rsidR="006F0D33" w:rsidRPr="006F0D33" w:rsidRDefault="006F0D33" w:rsidP="006F0D33">
      <w:pPr>
        <w:pStyle w:val="EndNoteBibliography"/>
        <w:ind w:left="720" w:hanging="720"/>
        <w:rPr>
          <w:sz w:val="22"/>
          <w:szCs w:val="22"/>
        </w:rPr>
      </w:pPr>
      <w:r w:rsidRPr="006F0D33">
        <w:rPr>
          <w:sz w:val="22"/>
          <w:szCs w:val="22"/>
        </w:rPr>
        <w:lastRenderedPageBreak/>
        <w:t xml:space="preserve">Cummins, R. A. (2017a). </w:t>
      </w:r>
      <w:r w:rsidRPr="006F0D33">
        <w:rPr>
          <w:i/>
          <w:sz w:val="22"/>
          <w:szCs w:val="22"/>
        </w:rPr>
        <w:t>Subjective Wellbeing Homeostasis - Second edition</w:t>
      </w:r>
      <w:r w:rsidRPr="006F0D33">
        <w:rPr>
          <w:sz w:val="22"/>
          <w:szCs w:val="22"/>
        </w:rPr>
        <w:t xml:space="preserve">. In D. S. Dunn (Ed.), </w:t>
      </w:r>
      <w:r w:rsidRPr="006F0D33">
        <w:rPr>
          <w:i/>
          <w:sz w:val="22"/>
          <w:szCs w:val="22"/>
        </w:rPr>
        <w:t>Oxford Bibliographies Online</w:t>
      </w:r>
      <w:r w:rsidRPr="006F0D33">
        <w:rPr>
          <w:sz w:val="22"/>
          <w:szCs w:val="22"/>
        </w:rPr>
        <w:t xml:space="preserve">. Retrieved from </w:t>
      </w:r>
      <w:hyperlink r:id="rId141" w:history="1">
        <w:r w:rsidRPr="006F0D33">
          <w:rPr>
            <w:rStyle w:val="Hyperlink"/>
            <w:sz w:val="22"/>
            <w:szCs w:val="22"/>
          </w:rPr>
          <w:t>http://www.oxfordbibliographies.com/view/document/obo-9780199828340/obo-9780199828340-0167.xml</w:t>
        </w:r>
      </w:hyperlink>
    </w:p>
    <w:p w:rsidR="006F0D33" w:rsidRPr="006F0D33" w:rsidRDefault="006F0D33" w:rsidP="006F0D33">
      <w:pPr>
        <w:pStyle w:val="EndNoteBibliography"/>
        <w:ind w:left="720" w:hanging="720"/>
        <w:rPr>
          <w:sz w:val="22"/>
          <w:szCs w:val="22"/>
        </w:rPr>
      </w:pPr>
      <w:r w:rsidRPr="006F0D33">
        <w:rPr>
          <w:sz w:val="22"/>
          <w:szCs w:val="22"/>
        </w:rPr>
        <w:t xml:space="preserve">Cummins, R. A. (2018c). The Golden Triangle of Happiness: Essential resources for a happy family. </w:t>
      </w:r>
      <w:r w:rsidRPr="006F0D33">
        <w:rPr>
          <w:i/>
          <w:sz w:val="22"/>
          <w:szCs w:val="22"/>
        </w:rPr>
        <w:t>International Journal of Child, Youth &amp; Family Studies, 9</w:t>
      </w:r>
      <w:r w:rsidRPr="006F0D33">
        <w:rPr>
          <w:sz w:val="22"/>
          <w:szCs w:val="22"/>
        </w:rPr>
        <w:t xml:space="preserve">(4), 12–39. </w:t>
      </w:r>
    </w:p>
    <w:p w:rsidR="006F0D33" w:rsidRPr="006F0D33" w:rsidRDefault="006F0D33" w:rsidP="006F0D33">
      <w:pPr>
        <w:pStyle w:val="EndNoteBibliography"/>
        <w:ind w:left="720" w:hanging="720"/>
        <w:rPr>
          <w:sz w:val="22"/>
          <w:szCs w:val="22"/>
        </w:rPr>
      </w:pPr>
      <w:r w:rsidRPr="006F0D33">
        <w:rPr>
          <w:sz w:val="22"/>
          <w:szCs w:val="22"/>
        </w:rPr>
        <w:t xml:space="preserve">Cummins, R. A., Capic, T., Hutchinson, D., Fuller-Tyszkiewicz, M., Olsson, C. A., &amp; Richardson, B. (2018). Why self-report variables inter-correlate: The role of Homeostatically Protected Mood. </w:t>
      </w:r>
      <w:r w:rsidRPr="006F0D33">
        <w:rPr>
          <w:i/>
          <w:sz w:val="22"/>
          <w:szCs w:val="22"/>
        </w:rPr>
        <w:t>Journal of Wellbeing Assessment, 2</w:t>
      </w:r>
      <w:r w:rsidRPr="006F0D33">
        <w:rPr>
          <w:sz w:val="22"/>
          <w:szCs w:val="22"/>
        </w:rPr>
        <w:t>, 93-114. doi:10.1007/s41543-018-0014-0</w:t>
      </w:r>
    </w:p>
    <w:p w:rsidR="006F0D33" w:rsidRPr="006F0D33" w:rsidRDefault="006F0D33" w:rsidP="006F0D33">
      <w:pPr>
        <w:pStyle w:val="EndNoteBibliography"/>
        <w:ind w:left="720" w:hanging="720"/>
        <w:rPr>
          <w:sz w:val="22"/>
          <w:szCs w:val="22"/>
        </w:rPr>
      </w:pPr>
      <w:r w:rsidRPr="006F0D33">
        <w:rPr>
          <w:sz w:val="22"/>
          <w:szCs w:val="22"/>
        </w:rPr>
        <w:t xml:space="preserve">Cummins, R. A., &amp; Nistico, H. (2002). Maintaining life satisfaction: The role of positive cognitive bias. </w:t>
      </w:r>
      <w:r w:rsidRPr="006F0D33">
        <w:rPr>
          <w:i/>
          <w:sz w:val="22"/>
          <w:szCs w:val="22"/>
        </w:rPr>
        <w:t>Journal of Happiness Studies, 3</w:t>
      </w:r>
      <w:r w:rsidRPr="006F0D33">
        <w:rPr>
          <w:sz w:val="22"/>
          <w:szCs w:val="22"/>
        </w:rPr>
        <w:t xml:space="preserve">(1), 37-69. </w:t>
      </w:r>
    </w:p>
    <w:p w:rsidR="006F0D33" w:rsidRPr="006F0D33" w:rsidRDefault="006F0D33" w:rsidP="006F0D33">
      <w:pPr>
        <w:pStyle w:val="EndNoteBibliography"/>
        <w:ind w:left="720" w:hanging="720"/>
        <w:rPr>
          <w:sz w:val="22"/>
          <w:szCs w:val="22"/>
        </w:rPr>
      </w:pPr>
      <w:r w:rsidRPr="006F0D33">
        <w:rPr>
          <w:sz w:val="22"/>
          <w:szCs w:val="22"/>
        </w:rPr>
        <w:t xml:space="preserve">Seligman, M. E. P., &amp; Csikszentmihalyi, M. (2000). Positive psychology: an introduction. </w:t>
      </w:r>
      <w:r w:rsidRPr="006F0D33">
        <w:rPr>
          <w:i/>
          <w:sz w:val="22"/>
          <w:szCs w:val="22"/>
        </w:rPr>
        <w:t>American Psychologist, 55</w:t>
      </w:r>
      <w:r w:rsidRPr="006F0D33">
        <w:rPr>
          <w:sz w:val="22"/>
          <w:szCs w:val="22"/>
        </w:rPr>
        <w:t xml:space="preserve">, 5-15. </w:t>
      </w:r>
    </w:p>
    <w:p w:rsidR="009548EC" w:rsidRDefault="006F0D33" w:rsidP="006F0D33">
      <w:pPr>
        <w:rPr>
          <w:rFonts w:eastAsia="Arial" w:cs="Times New Roman"/>
          <w:b/>
          <w:sz w:val="28"/>
          <w:szCs w:val="28"/>
        </w:rPr>
      </w:pPr>
      <w:r w:rsidRPr="006F0D33">
        <w:rPr>
          <w:sz w:val="22"/>
          <w:szCs w:val="22"/>
        </w:rPr>
        <w:fldChar w:fldCharType="end"/>
      </w:r>
    </w:p>
    <w:p w:rsidR="00680CF6" w:rsidRPr="00BB5D46" w:rsidRDefault="00680CF6" w:rsidP="00680CF6">
      <w:pPr>
        <w:rPr>
          <w:rFonts w:eastAsia="Arial" w:cs="Times New Roman"/>
          <w:b/>
          <w:sz w:val="28"/>
          <w:szCs w:val="28"/>
        </w:rPr>
      </w:pPr>
      <w:proofErr w:type="spellStart"/>
      <w:r w:rsidRPr="00740E1E">
        <w:rPr>
          <w:rFonts w:eastAsia="Arial" w:cs="Times New Roman"/>
          <w:b/>
          <w:sz w:val="28"/>
          <w:szCs w:val="28"/>
          <w:highlight w:val="green"/>
        </w:rPr>
        <w:t>ACQol</w:t>
      </w:r>
      <w:proofErr w:type="spellEnd"/>
      <w:r w:rsidRPr="00740E1E">
        <w:rPr>
          <w:rFonts w:eastAsia="Arial" w:cs="Times New Roman"/>
          <w:b/>
          <w:sz w:val="28"/>
          <w:szCs w:val="28"/>
          <w:highlight w:val="green"/>
        </w:rPr>
        <w:t xml:space="preserve"> Bulletin Vol 3/</w:t>
      </w:r>
      <w:r w:rsidR="009548EC" w:rsidRPr="00740E1E">
        <w:rPr>
          <w:rFonts w:eastAsia="Arial" w:cs="Times New Roman"/>
          <w:b/>
          <w:sz w:val="28"/>
          <w:szCs w:val="28"/>
          <w:highlight w:val="green"/>
        </w:rPr>
        <w:t>34</w:t>
      </w:r>
      <w:r w:rsidRPr="00740E1E">
        <w:rPr>
          <w:rFonts w:eastAsia="Arial" w:cs="Times New Roman"/>
          <w:b/>
          <w:sz w:val="28"/>
          <w:szCs w:val="28"/>
          <w:highlight w:val="green"/>
        </w:rPr>
        <w:t xml:space="preserve">: </w:t>
      </w:r>
      <w:r w:rsidR="009548EC" w:rsidRPr="00740E1E">
        <w:rPr>
          <w:rFonts w:eastAsia="Arial" w:cs="Times New Roman"/>
          <w:b/>
          <w:sz w:val="28"/>
          <w:szCs w:val="28"/>
          <w:highlight w:val="green"/>
        </w:rPr>
        <w:t>220819</w:t>
      </w:r>
    </w:p>
    <w:p w:rsidR="00680CF6" w:rsidRPr="00BB5D46" w:rsidRDefault="00680CF6" w:rsidP="00680CF6">
      <w:pPr>
        <w:rPr>
          <w:rFonts w:eastAsia="Arial" w:cs="Times New Roman"/>
          <w:b/>
          <w:sz w:val="28"/>
          <w:szCs w:val="28"/>
        </w:rPr>
      </w:pPr>
      <w:r w:rsidRPr="00BB5D46">
        <w:rPr>
          <w:rFonts w:eastAsia="Arial" w:cs="Times New Roman"/>
          <w:b/>
          <w:sz w:val="28"/>
          <w:szCs w:val="28"/>
        </w:rPr>
        <w:t>Bulletin of the Australian Centre on Quality of Life</w:t>
      </w:r>
    </w:p>
    <w:p w:rsidR="00680CF6" w:rsidRPr="00BB5D46" w:rsidRDefault="00DF3874" w:rsidP="00680CF6">
      <w:pPr>
        <w:rPr>
          <w:rFonts w:eastAsia="Arial" w:cs="Times New Roman"/>
        </w:rPr>
      </w:pPr>
      <w:hyperlink r:id="rId142" w:history="1">
        <w:r w:rsidR="00680CF6" w:rsidRPr="00BB5D46">
          <w:rPr>
            <w:rFonts w:eastAsia="Arial" w:cs="Times New Roman"/>
            <w:color w:val="0563C1"/>
            <w:u w:val="single"/>
          </w:rPr>
          <w:t>http://www.acqol.com.au/</w:t>
        </w:r>
      </w:hyperlink>
    </w:p>
    <w:p w:rsidR="00680CF6" w:rsidRPr="00AE19B8" w:rsidRDefault="00680CF6" w:rsidP="00680CF6">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680CF6" w:rsidRPr="00BB5D46" w:rsidRDefault="00680CF6" w:rsidP="00680CF6">
      <w:pPr>
        <w:rPr>
          <w:rFonts w:eastAsia="Arial" w:cs="Times New Roman"/>
          <w:b/>
        </w:rPr>
      </w:pPr>
      <w:r w:rsidRPr="00BB5D46">
        <w:rPr>
          <w:rFonts w:eastAsia="Arial" w:cs="Times New Roman"/>
          <w:b/>
        </w:rPr>
        <w:t xml:space="preserve">Back-issues of the Bulletin are available at </w:t>
      </w:r>
      <w:hyperlink r:id="rId143" w:anchor="bulletins" w:history="1">
        <w:r w:rsidRPr="00BB5D46">
          <w:rPr>
            <w:rFonts w:eastAsia="Arial" w:cs="Times New Roman"/>
            <w:color w:val="0563C1"/>
            <w:u w:val="single"/>
          </w:rPr>
          <w:t>http://www.acqol.com.au/projects#bulletins</w:t>
        </w:r>
      </w:hyperlink>
    </w:p>
    <w:p w:rsidR="00680CF6" w:rsidRPr="00BB5D46" w:rsidRDefault="00680CF6" w:rsidP="00680CF6">
      <w:pPr>
        <w:rPr>
          <w:rFonts w:eastAsia="Arial" w:cs="Times New Roman"/>
          <w:color w:val="0563C1"/>
          <w:u w:val="single"/>
        </w:rPr>
      </w:pPr>
    </w:p>
    <w:p w:rsidR="00680CF6" w:rsidRPr="00BB5D46" w:rsidRDefault="00680CF6" w:rsidP="00680CF6">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680CF6" w:rsidRDefault="00680CF6" w:rsidP="00680CF6">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680CF6" w:rsidRDefault="00680CF6" w:rsidP="00680CF6">
      <w:pPr>
        <w:rPr>
          <w:rFonts w:eastAsia="Arial" w:cs="Times New Roman"/>
        </w:rPr>
      </w:pPr>
    </w:p>
    <w:p w:rsidR="00680CF6" w:rsidRPr="00BB5D46" w:rsidRDefault="00680CF6" w:rsidP="00680CF6">
      <w:pPr>
        <w:jc w:val="center"/>
        <w:rPr>
          <w:rFonts w:eastAsia="Arial" w:cs="Times New Roman"/>
          <w:b/>
          <w:sz w:val="32"/>
          <w:szCs w:val="32"/>
        </w:rPr>
      </w:pPr>
      <w:r w:rsidRPr="00BB5D46">
        <w:rPr>
          <w:rFonts w:eastAsia="Arial" w:cs="Times New Roman"/>
          <w:b/>
          <w:sz w:val="32"/>
          <w:szCs w:val="32"/>
        </w:rPr>
        <w:t>Paper for private study</w:t>
      </w:r>
    </w:p>
    <w:p w:rsidR="00680CF6" w:rsidRDefault="00680CF6" w:rsidP="00680CF6">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680CF6" w:rsidRDefault="00680CF6" w:rsidP="00680CF6">
      <w:pPr>
        <w:jc w:val="center"/>
        <w:rPr>
          <w:rFonts w:eastAsia="Arial" w:cs="Times New Roman"/>
        </w:rPr>
      </w:pPr>
    </w:p>
    <w:p w:rsidR="003C37DF" w:rsidRPr="000B5627" w:rsidRDefault="003C37DF" w:rsidP="003C37DF">
      <w:r w:rsidRPr="00E65B86">
        <w:rPr>
          <w:b/>
        </w:rPr>
        <w:t>Background:</w:t>
      </w:r>
      <w:r>
        <w:t xml:space="preserve"> This paper has been recommended by </w:t>
      </w:r>
      <w:r w:rsidRPr="000B5627">
        <w:t>Kate Lycett &lt;kate.lycett@mcri.edu.au&gt;</w:t>
      </w:r>
    </w:p>
    <w:p w:rsidR="003C37DF" w:rsidRDefault="003C37DF" w:rsidP="003C37DF"/>
    <w:p w:rsidR="003C37DF" w:rsidRDefault="003C37DF" w:rsidP="003C37DF">
      <w:r w:rsidRPr="00E1391A">
        <w:rPr>
          <w:i/>
        </w:rPr>
        <w:t>Cummins writes</w:t>
      </w:r>
      <w:r>
        <w:t xml:space="preserve">: Systematic reviews have drawn increasing attention from the research community over the past few decades. They have become great </w:t>
      </w:r>
      <w:proofErr w:type="spellStart"/>
      <w:r>
        <w:t>favorites</w:t>
      </w:r>
      <w:proofErr w:type="spellEnd"/>
      <w:r>
        <w:t xml:space="preserve"> among hard-pressed academics, and their harder-pressed students, because they are essentially mechanical devices for generating literature reviews. The technology comes with set of rules for the inclusion or exclusion of articles, together with other rules for the creation of synthetic tables of results </w:t>
      </w:r>
      <w:r>
        <w:fldChar w:fldCharType="begin"/>
      </w:r>
      <w:r>
        <w:instrText xml:space="preserve"> ADDIN EN.CITE &lt;EndNote&gt;&lt;Cite&gt;&lt;Author&gt;Moher&lt;/Author&gt;&lt;Year&gt;2009&lt;/Year&gt;&lt;RecNum&gt;3908&lt;/RecNum&gt;&lt;Prefix&gt;e.g. &lt;/Prefix&gt;&lt;DisplayText&gt;(e.g. Moher, Liberati, Tetzlaff, &amp;amp; Altman, 2009)&lt;/DisplayText&gt;&lt;record&gt;&lt;rec-number&gt;3908&lt;/rec-number&gt;&lt;foreign-keys&gt;&lt;key app="EN" db-id="z2xarpe9cfrvp4ezdxk5ddx9dsrzr05f22sa" timestamp="1566100182"&gt;3908&lt;/key&gt;&lt;/foreign-keys&gt;&lt;ref-type name="Journal Article"&gt;17&lt;/ref-type&gt;&lt;contributors&gt;&lt;authors&gt;&lt;author&gt;Moher, D.&lt;/author&gt;&lt;author&gt;Liberati, Alessandro&lt;/author&gt;&lt;author&gt;Tetzlaff, Jennifer&lt;/author&gt;&lt;author&gt;Altman, Douglas G&lt;/author&gt;&lt;/authors&gt;&lt;/contributors&gt;&lt;titles&gt;&lt;title&gt;Preferred reporting items for systematic reviews and meta-analyses: the PRISMA statement&lt;/title&gt;&lt;secondary-title&gt;Annals of internal medicine&lt;/secondary-title&gt;&lt;/titles&gt;&lt;periodical&gt;&lt;full-title&gt;Annals of Internal Medicine&lt;/full-title&gt;&lt;/periodical&gt;&lt;pages&gt;264-269&lt;/pages&gt;&lt;volume&gt;151&lt;/volume&gt;&lt;number&gt;4&lt;/number&gt;&lt;dates&gt;&lt;year&gt;2009&lt;/year&gt;&lt;/dates&gt;&lt;isbn&gt;0003-4819&lt;/isbn&gt;&lt;urls&gt;&lt;/urls&gt;&lt;/record&gt;&lt;/Cite&gt;&lt;/EndNote&gt;</w:instrText>
      </w:r>
      <w:r>
        <w:fldChar w:fldCharType="separate"/>
      </w:r>
      <w:r>
        <w:rPr>
          <w:noProof/>
        </w:rPr>
        <w:t>(e.g. Moher, Liberati, Tetzlaff, &amp; Altman, 2009)</w:t>
      </w:r>
      <w:r>
        <w:fldChar w:fldCharType="end"/>
      </w:r>
      <w:r>
        <w:t xml:space="preserve">. Adherence to these rules allows systematic reviews to be created by people who are not necessarily conversant with the review topic, such as research assistants. One consequence has been the generation of an enormous literature. Referring to PubMed listing, </w:t>
      </w:r>
      <w:r>
        <w:fldChar w:fldCharType="begin"/>
      </w:r>
      <w:r>
        <w:instrText xml:space="preserve"> ADDIN EN.CITE &lt;EndNote&gt;&lt;Cite AuthorYear="1"&gt;&lt;Author&gt;Ioannidis&lt;/Author&gt;&lt;Year&gt;2016&lt;/Year&gt;&lt;RecNum&gt;3907&lt;/RecNum&gt;&lt;DisplayText&gt;Ioannidis (2016)&lt;/DisplayText&gt;&lt;record&gt;&lt;rec-number&gt;3907&lt;/rec-number&gt;&lt;foreign-keys&gt;&lt;key app="EN" db-id="z2xarpe9cfrvp4ezdxk5ddx9dsrzr05f22sa" timestamp="1566098914"&gt;3907&lt;/key&gt;&lt;/foreign-keys&gt;&lt;ref-type name="Journal Article"&gt;17&lt;/ref-type&gt;&lt;contributors&gt;&lt;authors&gt;&lt;author&gt;Ioannidis, J. P. A.&lt;/author&gt;&lt;/authors&gt;&lt;/contributors&gt;&lt;titles&gt;&lt;title&gt;The mass production of redundant, misleading, and conflicted systematic reviews and meta‐analyses&lt;/title&gt;&lt;secondary-title&gt;The Milbank Quarterly&lt;/secondary-title&gt;&lt;/titles&gt;&lt;periodical&gt;&lt;full-title&gt;The Milbank Quarterly&lt;/full-title&gt;&lt;/periodical&gt;&lt;pages&gt;485-514&lt;/pages&gt;&lt;volume&gt;94&lt;/volume&gt;&lt;number&gt;3&lt;/number&gt;&lt;dates&gt;&lt;year&gt;2016&lt;/year&gt;&lt;/dates&gt;&lt;isbn&gt;0887-378X&lt;/isbn&gt;&lt;urls&gt;&lt;/urls&gt;&lt;/record&gt;&lt;/Cite&gt;&lt;/EndNote&gt;</w:instrText>
      </w:r>
      <w:r>
        <w:fldChar w:fldCharType="separate"/>
      </w:r>
      <w:r>
        <w:rPr>
          <w:noProof/>
        </w:rPr>
        <w:t>Ioannidis (2016)</w:t>
      </w:r>
      <w:r>
        <w:fldChar w:fldCharType="end"/>
      </w:r>
      <w:r>
        <w:t xml:space="preserve"> estimated that, </w:t>
      </w:r>
      <w:r w:rsidRPr="00A4070D">
        <w:t>between 1991 and 2014</w:t>
      </w:r>
      <w:r>
        <w:t>,</w:t>
      </w:r>
      <w:r w:rsidRPr="00A4070D">
        <w:t xml:space="preserve"> </w:t>
      </w:r>
      <w:r>
        <w:t xml:space="preserve">the number of systematic reviews increased by 2,728%, </w:t>
      </w:r>
      <w:r w:rsidRPr="00A4070D">
        <w:t>versus</w:t>
      </w:r>
      <w:r>
        <w:t xml:space="preserve"> an increase of</w:t>
      </w:r>
      <w:r w:rsidRPr="00A4070D">
        <w:t xml:space="preserve"> only 153% for all indexed</w:t>
      </w:r>
      <w:r>
        <w:t xml:space="preserve"> </w:t>
      </w:r>
      <w:r w:rsidRPr="00A4070D">
        <w:t>items.</w:t>
      </w:r>
      <w:r>
        <w:t xml:space="preserve"> His review is entitled “</w:t>
      </w:r>
      <w:r w:rsidRPr="00186D1E">
        <w:t>The mass production of redundant, misleading, and conflicted systematic reviews and meta‐analyses</w:t>
      </w:r>
      <w:r>
        <w:t>.”</w:t>
      </w:r>
    </w:p>
    <w:p w:rsidR="003C37DF" w:rsidRDefault="003C37DF" w:rsidP="003C37DF"/>
    <w:p w:rsidR="003C37DF" w:rsidRDefault="003C37DF" w:rsidP="003C37DF">
      <w:r>
        <w:t xml:space="preserve">So, an essential question is what proportion of this information mountain is valid and reliable. </w:t>
      </w:r>
      <w:r>
        <w:fldChar w:fldCharType="begin"/>
      </w:r>
      <w:r>
        <w:instrText xml:space="preserve"> ADDIN EN.CITE &lt;EndNote&gt;&lt;Cite AuthorYear="1"&gt;&lt;Author&gt;Ioannidis&lt;/Author&gt;&lt;Year&gt;2016&lt;/Year&gt;&lt;RecNum&gt;3907&lt;/RecNum&gt;&lt;DisplayText&gt;Ioannidis (2016)&lt;/DisplayText&gt;&lt;record&gt;&lt;rec-number&gt;3907&lt;/rec-number&gt;&lt;foreign-keys&gt;&lt;key app="EN" db-id="z2xarpe9cfrvp4ezdxk5ddx9dsrzr05f22sa" timestamp="1566098914"&gt;3907&lt;/key&gt;&lt;/foreign-keys&gt;&lt;ref-type name="Journal Article"&gt;17&lt;/ref-type&gt;&lt;contributors&gt;&lt;authors&gt;&lt;author&gt;Ioannidis, J. P. A.&lt;/author&gt;&lt;/authors&gt;&lt;/contributors&gt;&lt;titles&gt;&lt;title&gt;The mass production of redundant, misleading, and conflicted systematic reviews and meta‐analyses&lt;/title&gt;&lt;secondary-title&gt;The Milbank Quarterly&lt;/secondary-title&gt;&lt;/titles&gt;&lt;periodical&gt;&lt;full-title&gt;The Milbank Quarterly&lt;/full-title&gt;&lt;/periodical&gt;&lt;pages&gt;485-514&lt;/pages&gt;&lt;volume&gt;94&lt;/volume&gt;&lt;number&gt;3&lt;/number&gt;&lt;dates&gt;&lt;year&gt;2016&lt;/year&gt;&lt;/dates&gt;&lt;isbn&gt;0887-378X&lt;/isbn&gt;&lt;urls&gt;&lt;/urls&gt;&lt;/record&gt;&lt;/Cite&gt;&lt;/EndNote&gt;</w:instrText>
      </w:r>
      <w:r>
        <w:fldChar w:fldCharType="separate"/>
      </w:r>
      <w:r>
        <w:rPr>
          <w:noProof/>
        </w:rPr>
        <w:t>Ioannidis (2016)</w:t>
      </w:r>
      <w:r>
        <w:fldChar w:fldCharType="end"/>
      </w:r>
      <w:r>
        <w:t xml:space="preserve"> estimates this to be about 3% in the context of medical reviews. Depressing though this figure certainly is, I suspect that reviews extending into the social sciences may yield an even lower figure. It is thus a worthy line of enquiry to ask what factors, other than simple mechanical failure, bring such reviews undone. </w:t>
      </w:r>
    </w:p>
    <w:p w:rsidR="003C37DF" w:rsidRDefault="003C37DF" w:rsidP="003C37DF"/>
    <w:p w:rsidR="003C37DF" w:rsidRDefault="003C37DF" w:rsidP="003C37DF">
      <w:r w:rsidRPr="00E65B86">
        <w:rPr>
          <w:b/>
        </w:rPr>
        <w:lastRenderedPageBreak/>
        <w:t>Reference:</w:t>
      </w:r>
      <w:r>
        <w:t xml:space="preserve"> </w:t>
      </w:r>
      <w:proofErr w:type="spellStart"/>
      <w:r w:rsidRPr="000B5627">
        <w:t>Møller</w:t>
      </w:r>
      <w:proofErr w:type="spellEnd"/>
      <w:r w:rsidRPr="000B5627">
        <w:t xml:space="preserve">, M. H., Ioannidis, J. P., &amp; </w:t>
      </w:r>
      <w:proofErr w:type="spellStart"/>
      <w:r w:rsidRPr="000B5627">
        <w:t>Darmon</w:t>
      </w:r>
      <w:proofErr w:type="spellEnd"/>
      <w:r w:rsidRPr="000B5627">
        <w:t>, M. (2018). Are systematic reviews and meta-analyses still useful</w:t>
      </w:r>
      <w:r>
        <w:t xml:space="preserve"> </w:t>
      </w:r>
      <w:r w:rsidRPr="000B5627">
        <w:t>research? We are not sure. Intensive Care Medicine, 44, 518–520.</w:t>
      </w:r>
    </w:p>
    <w:p w:rsidR="003C37DF" w:rsidRDefault="003C37DF" w:rsidP="003C37DF"/>
    <w:p w:rsidR="003C37DF" w:rsidRPr="00E65B86" w:rsidRDefault="003C37DF" w:rsidP="003C37DF">
      <w:r w:rsidRPr="00E65B86">
        <w:rPr>
          <w:b/>
        </w:rPr>
        <w:t>Abstract:</w:t>
      </w:r>
      <w:r w:rsidRPr="00E65B86">
        <w:t xml:space="preserve"> </w:t>
      </w:r>
      <w:r>
        <w:t xml:space="preserve">An evaluation of the landscape of current systematic reviews and meta-analyses suggests that many of them are focused on unimportant questions, many are redundant and unnecessary, a sizeable proportion are flawed beyond repair, and eventually only about 3% of them are both well done and clinically useful. … </w:t>
      </w:r>
      <w:r w:rsidRPr="00E65B86">
        <w:t>However, there is a minority of systematic</w:t>
      </w:r>
    </w:p>
    <w:p w:rsidR="003C37DF" w:rsidRDefault="003C37DF" w:rsidP="003C37DF">
      <w:r w:rsidRPr="00E65B86">
        <w:t>reviews and meta-analyses that can be extremely useful.</w:t>
      </w:r>
    </w:p>
    <w:p w:rsidR="003C37DF" w:rsidRDefault="003C37DF" w:rsidP="003C37DF"/>
    <w:p w:rsidR="003C37DF" w:rsidRDefault="003C37DF" w:rsidP="003C37DF">
      <w:r w:rsidRPr="00E65B86">
        <w:rPr>
          <w:b/>
        </w:rPr>
        <w:t xml:space="preserve">Discussion: </w:t>
      </w:r>
      <w:r>
        <w:t>Systematic reviews are certainly relevant to the broad field of medicine, where some have yielded new understanding. Notably, however, in medicine the variables under consideration are</w:t>
      </w:r>
      <w:r w:rsidR="0070453D">
        <w:t xml:space="preserve"> likely to be</w:t>
      </w:r>
      <w:r>
        <w:t xml:space="preserve"> </w:t>
      </w:r>
      <w:r w:rsidR="0070453D">
        <w:t>estimates</w:t>
      </w:r>
      <w:r>
        <w:t xml:space="preserve"> of biological functioning; involving biochemical, physiological, or anatomical measures. Such variables are amenable to objective designation in terms of quantities and frequencies, which allows them to be self-evidently referenced to standardized norms and validity testing. But extending systematic reviews to include subjective variables within the social sciences is a very different kettle of fish.</w:t>
      </w:r>
    </w:p>
    <w:p w:rsidR="003C37DF" w:rsidRDefault="003C37DF" w:rsidP="003C37DF"/>
    <w:p w:rsidR="003C37DF" w:rsidRDefault="003C37DF" w:rsidP="003C37DF">
      <w:r>
        <w:t>Subjective indicators of life quality are much more difficult to reliably and validly characterise than are the objective measures. By definition, the character of an objective indicator can be verified by a number of people. In stark contrast, the subjective indicators exist only within the private consciousness of each individual respondent. The public demonstration indicator</w:t>
      </w:r>
      <w:r w:rsidR="00DF097D">
        <w:t xml:space="preserve"> values</w:t>
      </w:r>
      <w:r>
        <w:t xml:space="preserve"> </w:t>
      </w:r>
      <w:proofErr w:type="gramStart"/>
      <w:r>
        <w:t>requires</w:t>
      </w:r>
      <w:proofErr w:type="gramEnd"/>
      <w:r>
        <w:t xml:space="preserve"> the person to represent their tho</w:t>
      </w:r>
      <w:r w:rsidR="0070453D">
        <w:t xml:space="preserve">ughts in some external manner, </w:t>
      </w:r>
      <w:r>
        <w:t xml:space="preserve">thereby allowing it to be detected by other people. This may be by speech, gesture, writing, or responding to a prepared scale of measurement. It is this indirect representational process which is the major problem for measurement validity and reliability. In order to meet strict psychometric </w:t>
      </w:r>
      <w:r w:rsidR="00DF097D">
        <w:t>criteria</w:t>
      </w:r>
      <w:r>
        <w:t xml:space="preserve">, </w:t>
      </w:r>
      <w:r w:rsidR="00DF097D">
        <w:t xml:space="preserve">subjective variables need to be measured </w:t>
      </w:r>
      <w:r>
        <w:t xml:space="preserve">with far greater sensitivity to confounding factors than is </w:t>
      </w:r>
      <w:r w:rsidR="00DF097D">
        <w:t>commonly found</w:t>
      </w:r>
      <w:r>
        <w:t xml:space="preserve"> for objective measures.</w:t>
      </w:r>
    </w:p>
    <w:p w:rsidR="003C37DF" w:rsidRDefault="003C37DF" w:rsidP="003C37DF"/>
    <w:p w:rsidR="003C37DF" w:rsidRDefault="003C37DF" w:rsidP="003C37DF">
      <w:r>
        <w:t>Within individual studies, involving relatively homogeneous samples, the normal procedures of established psychological measurement do allow the generation of data with adequate validity and reliability. This does not apply, however, to either heterogeneous samples or, most especially, to the combination of data between studies. Some of the almost insurmountable problems of data combination are as follows:</w:t>
      </w:r>
    </w:p>
    <w:p w:rsidR="003C37DF" w:rsidRDefault="003C37DF" w:rsidP="003C37DF"/>
    <w:p w:rsidR="003C37DF" w:rsidRDefault="003C37DF" w:rsidP="003C37DF">
      <w:r>
        <w:t xml:space="preserve">1. The terminology used in subjective wellbeing research is anarchic. There simply are no rules. Different authors may well refer to the output of a scale </w:t>
      </w:r>
      <w:r w:rsidR="0070453D">
        <w:t xml:space="preserve">they have used in common </w:t>
      </w:r>
      <w:r w:rsidR="00DF097D">
        <w:t xml:space="preserve">by </w:t>
      </w:r>
      <w:r w:rsidR="0070453D">
        <w:t>using different terms</w:t>
      </w:r>
      <w:r>
        <w:t xml:space="preserve">, such as happiness, life satisfaction, positive feelings, etc. Within the context of a single study this does not matter very much, but it matters a lot when data from different studies are combined. Such terms are not strict synonyms. They are separately represented on the affective </w:t>
      </w:r>
      <w:proofErr w:type="spellStart"/>
      <w:r>
        <w:t>circumplex</w:t>
      </w:r>
      <w:proofErr w:type="spellEnd"/>
      <w:r>
        <w:t xml:space="preserve"> and are rated at different levels </w:t>
      </w:r>
      <w:r>
        <w:fldChar w:fldCharType="begin"/>
      </w:r>
      <w:r w:rsidR="00E318B0">
        <w:instrText xml:space="preserve"> ADDIN EN.CITE &lt;EndNote&gt;&lt;Cite&gt;&lt;Author&gt;Davern&lt;/Author&gt;&lt;Year&gt;2007&lt;/Year&gt;&lt;RecNum&gt;312&lt;/RecNum&gt;&lt;Prefix&gt;e.g. &lt;/Prefix&gt;&lt;DisplayText&gt;(e.g. Davern et al., 2007)&lt;/DisplayText&gt;&lt;record&gt;&lt;rec-number&gt;312&lt;/rec-number&gt;&lt;foreign-keys&gt;&lt;key app="EN" db-id="z2xarpe9cfrvp4ezdxk5ddx9dsrzr05f22sa" timestamp="1343947741"&gt;312&lt;/key&gt;&lt;/foreign-keys&gt;&lt;ref-type name="Journal Article"&gt;17&lt;/ref-type&gt;&lt;contributors&gt;&lt;authors&gt;&lt;author&gt;Davern, M.&lt;/author&gt;&lt;author&gt;Cummins, R. A.&lt;/author&gt;&lt;author&gt;Stokes, M.&lt;/author&gt;&lt;/authors&gt;&lt;/contributors&gt;&lt;titles&gt;&lt;title&gt;Subjective wellbeing as an affective/cognitive construct&lt;/title&gt;&lt;secondary-title&gt;Journal of Happiness Studies&lt;/secondary-title&gt;&lt;/titles&gt;&lt;periodical&gt;&lt;full-title&gt;Journal of Happiness Studies&lt;/full-title&gt;&lt;/periodical&gt;&lt;pages&gt;429-449&lt;/pages&gt;&lt;volume&gt;8&lt;/volume&gt;&lt;number&gt;4&lt;/number&gt;&lt;dates&gt;&lt;year&gt;2007&lt;/year&gt;&lt;/dates&gt;&lt;urls&gt;&lt;/urls&gt;&lt;electronic-resource-num&gt;10.1007/s10902-007-9066-1&lt;/electronic-resource-num&gt;&lt;/record&gt;&lt;/Cite&gt;&lt;/EndNote&gt;</w:instrText>
      </w:r>
      <w:r>
        <w:fldChar w:fldCharType="separate"/>
      </w:r>
      <w:r w:rsidR="00E318B0">
        <w:rPr>
          <w:noProof/>
        </w:rPr>
        <w:t>(e.g. Davern et al., 2007)</w:t>
      </w:r>
      <w:r>
        <w:fldChar w:fldCharType="end"/>
      </w:r>
      <w:r>
        <w:t>.  The best that can be said for their combination</w:t>
      </w:r>
      <w:r w:rsidR="00F77B37">
        <w:t>,</w:t>
      </w:r>
      <w:r>
        <w:t xml:space="preserve"> is that they generally share some level of common variance. But such a crude approach to data combination undoubtedly adds confounding variance to </w:t>
      </w:r>
      <w:r w:rsidR="0070453D">
        <w:t xml:space="preserve">empirical </w:t>
      </w:r>
      <w:r>
        <w:t>reviews.</w:t>
      </w:r>
      <w:r w:rsidR="0070453D">
        <w:t xml:space="preserve"> </w:t>
      </w:r>
      <w:r w:rsidR="00F77B37">
        <w:t>As ever,</w:t>
      </w:r>
      <w:r w:rsidR="00DF097D">
        <w:t xml:space="preserve"> </w:t>
      </w:r>
      <w:r w:rsidR="00F77B37">
        <w:t>if an author</w:t>
      </w:r>
      <w:r w:rsidR="00DF097D">
        <w:t xml:space="preserve"> </w:t>
      </w:r>
      <w:r w:rsidR="00F77B37">
        <w:t xml:space="preserve">is </w:t>
      </w:r>
      <w:r w:rsidR="00886082">
        <w:t>combin</w:t>
      </w:r>
      <w:r w:rsidR="00F77B37">
        <w:t>ing</w:t>
      </w:r>
      <w:r w:rsidR="00886082">
        <w:t xml:space="preserve"> data from</w:t>
      </w:r>
      <w:r w:rsidR="00DF097D">
        <w:t xml:space="preserve"> differently-named variables</w:t>
      </w:r>
      <w:r w:rsidR="002319C6">
        <w:t>,</w:t>
      </w:r>
      <w:r w:rsidR="0070453D">
        <w:t xml:space="preserve"> they have a responsibility to argue their case</w:t>
      </w:r>
      <w:r w:rsidR="00886082">
        <w:t xml:space="preserve"> for equivalence</w:t>
      </w:r>
      <w:r w:rsidR="00F77B37">
        <w:t>;</w:t>
      </w:r>
      <w:r w:rsidR="002319C6">
        <w:t xml:space="preserve"> not </w:t>
      </w:r>
      <w:r w:rsidR="00F77B37">
        <w:t xml:space="preserve">to </w:t>
      </w:r>
      <w:r w:rsidR="002319C6">
        <w:t>simply ignore the problem.</w:t>
      </w:r>
      <w:r w:rsidR="0070453D">
        <w:t xml:space="preserve"> </w:t>
      </w:r>
    </w:p>
    <w:p w:rsidR="003C37DF" w:rsidRDefault="003C37DF" w:rsidP="003C37DF"/>
    <w:p w:rsidR="003C37DF" w:rsidRDefault="002319C6" w:rsidP="003C37DF">
      <w:r>
        <w:t>2. S</w:t>
      </w:r>
      <w:r w:rsidR="003C37DF">
        <w:t>ingle-named variable</w:t>
      </w:r>
      <w:r>
        <w:t>s</w:t>
      </w:r>
      <w:r w:rsidR="003C37DF">
        <w:t xml:space="preserve">, such as ‘life satisfaction’, </w:t>
      </w:r>
      <w:r>
        <w:t>are commonly</w:t>
      </w:r>
      <w:r w:rsidR="003C37DF">
        <w:t xml:space="preserve"> measured by scales </w:t>
      </w:r>
      <w:r w:rsidR="00886082">
        <w:t>which have</w:t>
      </w:r>
      <w:r>
        <w:t xml:space="preserve"> quite different constructions</w:t>
      </w:r>
      <w:r w:rsidR="003C37DF">
        <w:t xml:space="preserve">. </w:t>
      </w:r>
      <w:r>
        <w:t>For example, t</w:t>
      </w:r>
      <w:r w:rsidR="003C37DF">
        <w:t xml:space="preserve">he Satisfaction with Life Scale </w:t>
      </w:r>
      <w:r w:rsidR="003C37DF">
        <w:fldChar w:fldCharType="begin"/>
      </w:r>
      <w:r w:rsidR="003C37DF">
        <w:instrText xml:space="preserve"> ADDIN EN.CITE &lt;EndNote&gt;&lt;Cite&gt;&lt;Author&gt;Diener&lt;/Author&gt;&lt;Year&gt;1985&lt;/Year&gt;&lt;RecNum&gt;646&lt;/RecNum&gt;&lt;DisplayText&gt;(Diener, Emmons, Larsen, &amp;amp; Griffin, 1985)&lt;/DisplayText&gt;&lt;record&gt;&lt;rec-number&gt;646&lt;/rec-number&gt;&lt;foreign-keys&gt;&lt;key app="EN" db-id="z2xarpe9cfrvp4ezdxk5ddx9dsrzr05f22sa" timestamp="1343947789"&gt;646&lt;/key&gt;&lt;/foreign-keys&gt;&lt;ref-type name="Journal Article"&gt;17&lt;/ref-type&gt;&lt;contributors&gt;&lt;authors&gt;&lt;author&gt;Diener, E.&lt;/author&gt;&lt;author&gt;Emmons, R. A.&lt;/author&gt;&lt;author&gt;Larsen, R. J.&lt;/author&gt;&lt;author&gt;Griffin, S.&lt;/author&gt;&lt;/authors&gt;&lt;/contributors&gt;&lt;titles&gt;&lt;title&gt;The satisfaction with life scale&lt;/title&gt;&lt;secondary-title&gt;Journal of Personality Assessment&lt;/secondary-title&gt;&lt;/titles&gt;&lt;periodical&gt;&lt;full-title&gt;Journal of Personality Assessment&lt;/full-title&gt;&lt;/periodical&gt;&lt;pages&gt;71-75&lt;/pages&gt;&lt;volume&gt;49&lt;/volume&gt;&lt;dates&gt;&lt;year&gt;1985&lt;/year&gt;&lt;/dates&gt;&lt;urls&gt;&lt;/urls&gt;&lt;/record&gt;&lt;/Cite&gt;&lt;/EndNote&gt;</w:instrText>
      </w:r>
      <w:r w:rsidR="003C37DF">
        <w:fldChar w:fldCharType="separate"/>
      </w:r>
      <w:r w:rsidR="003C37DF">
        <w:rPr>
          <w:noProof/>
        </w:rPr>
        <w:t>(Diener, Emmons, Larsen, &amp; Griffin, 1985)</w:t>
      </w:r>
      <w:r w:rsidR="003C37DF">
        <w:fldChar w:fldCharType="end"/>
      </w:r>
      <w:r w:rsidR="003C37DF">
        <w:t xml:space="preserve"> asks respondents to rate </w:t>
      </w:r>
      <w:r w:rsidR="003C37DF" w:rsidRPr="00A43469">
        <w:rPr>
          <w:i/>
        </w:rPr>
        <w:t xml:space="preserve">their level of </w:t>
      </w:r>
      <w:r w:rsidR="003C37DF" w:rsidRPr="00A43469">
        <w:rPr>
          <w:i/>
        </w:rPr>
        <w:lastRenderedPageBreak/>
        <w:t>‘agreement’</w:t>
      </w:r>
      <w:r w:rsidR="003C37DF">
        <w:t xml:space="preserve"> with five statements. The Satisfaction with Life domains Test </w:t>
      </w:r>
      <w:r w:rsidR="003C37DF">
        <w:fldChar w:fldCharType="begin"/>
      </w:r>
      <w:r w:rsidR="003C37DF">
        <w:instrText xml:space="preserve"> ADDIN EN.CITE &lt;EndNote&gt;&lt;Cite&gt;&lt;Author&gt;Baker&lt;/Author&gt;&lt;Year&gt;1982&lt;/Year&gt;&lt;RecNum&gt;2872&lt;/RecNum&gt;&lt;DisplayText&gt;(Baker &amp;amp; Intagliata, 1982)&lt;/DisplayText&gt;&lt;record&gt;&lt;rec-number&gt;2872&lt;/rec-number&gt;&lt;foreign-keys&gt;&lt;key app="EN" db-id="z2xarpe9cfrvp4ezdxk5ddx9dsrzr05f22sa" timestamp="1486004985"&gt;2872&lt;/key&gt;&lt;/foreign-keys&gt;&lt;ref-type name="Journal Article"&gt;17&lt;/ref-type&gt;&lt;contributors&gt;&lt;authors&gt;&lt;author&gt;Baker, F.&lt;/author&gt;&lt;author&gt;Intagliata, J.&lt;/author&gt;&lt;/authors&gt;&lt;/contributors&gt;&lt;titles&gt;&lt;title&gt;Quality of life in the evaluation of community support systems&lt;/title&gt;&lt;secondary-title&gt;Evaluation and Program Planning&lt;/secondary-title&gt;&lt;/titles&gt;&lt;periodical&gt;&lt;full-title&gt;Evaluation and Program Planning&lt;/full-title&gt;&lt;/periodical&gt;&lt;pages&gt;69-19&lt;/pages&gt;&lt;volume&gt;5&lt;/volume&gt;&lt;dates&gt;&lt;year&gt;1982&lt;/year&gt;&lt;/dates&gt;&lt;urls&gt;&lt;/urls&gt;&lt;/record&gt;&lt;/Cite&gt;&lt;/EndNote&gt;</w:instrText>
      </w:r>
      <w:r w:rsidR="003C37DF">
        <w:fldChar w:fldCharType="separate"/>
      </w:r>
      <w:r w:rsidR="003C37DF">
        <w:rPr>
          <w:noProof/>
        </w:rPr>
        <w:t>(Baker &amp; Intagliata, 1982)</w:t>
      </w:r>
      <w:r w:rsidR="003C37DF">
        <w:fldChar w:fldCharType="end"/>
      </w:r>
      <w:r w:rsidR="003C37DF">
        <w:t xml:space="preserve"> measures ‘satisfaction with life’ by asking people to rate their feelings with 15 life areas using the </w:t>
      </w:r>
      <w:r w:rsidR="003C37DF" w:rsidRPr="002319C6">
        <w:rPr>
          <w:i/>
        </w:rPr>
        <w:t>‘delighted-terrible’ scale</w:t>
      </w:r>
      <w:r w:rsidR="003C37DF">
        <w:t xml:space="preserve">. </w:t>
      </w:r>
      <w:r>
        <w:t xml:space="preserve">It is surely inappropriate to </w:t>
      </w:r>
      <w:r w:rsidR="003C37DF">
        <w:t>assume that such</w:t>
      </w:r>
      <w:r>
        <w:t xml:space="preserve"> different</w:t>
      </w:r>
      <w:r w:rsidR="003C37DF">
        <w:t xml:space="preserve"> data </w:t>
      </w:r>
      <w:r>
        <w:t xml:space="preserve">can </w:t>
      </w:r>
      <w:r w:rsidR="003C37DF">
        <w:t>be validly combined.</w:t>
      </w:r>
    </w:p>
    <w:p w:rsidR="003C37DF" w:rsidRDefault="003C37DF" w:rsidP="003C37DF"/>
    <w:p w:rsidR="003C37DF" w:rsidRPr="006F07EE" w:rsidRDefault="003C37DF" w:rsidP="003C37DF">
      <w:r>
        <w:t>3. To what extent do people from different groups</w:t>
      </w:r>
      <w:r w:rsidR="00F77B37">
        <w:t>, especially different cultural groups,</w:t>
      </w:r>
      <w:r>
        <w:t xml:space="preserve"> </w:t>
      </w:r>
      <w:r w:rsidR="00F77B37">
        <w:t xml:space="preserve">respond to </w:t>
      </w:r>
      <w:r>
        <w:t>SWB</w:t>
      </w:r>
      <w:r w:rsidR="0062633B">
        <w:t xml:space="preserve"> measurement scales</w:t>
      </w:r>
      <w:r>
        <w:t xml:space="preserve"> in the same way? The answer </w:t>
      </w:r>
      <w:r w:rsidR="00F77B37">
        <w:t>comes from</w:t>
      </w:r>
      <w:r>
        <w:t xml:space="preserve"> numerous studies using either </w:t>
      </w:r>
      <w:proofErr w:type="spellStart"/>
      <w:r>
        <w:t>Rasch</w:t>
      </w:r>
      <w:proofErr w:type="spellEnd"/>
      <w:r>
        <w:t xml:space="preserve"> Analysis or Invariance Testing. Even at the level of individual words, different cultural responses may be non-comparable. </w:t>
      </w:r>
      <w:r>
        <w:rPr>
          <w:rFonts w:eastAsia="Arial" w:cs="Times New Roman"/>
        </w:rPr>
        <w:t xml:space="preserve">For example, </w:t>
      </w:r>
      <w:r w:rsidRPr="00E425D4">
        <w:rPr>
          <w:rFonts w:eastAsia="Arial" w:cs="Times New Roman"/>
        </w:rPr>
        <w:fldChar w:fldCharType="begin"/>
      </w:r>
      <w:r>
        <w:rPr>
          <w:rFonts w:eastAsia="Arial" w:cs="Times New Roman"/>
        </w:rPr>
        <w:instrText xml:space="preserve"> ADDIN EN.CITE &lt;EndNote&gt;&lt;Cite AuthorYear="1"&gt;&lt;Author&gt;Oishi&lt;/Author&gt;&lt;Year&gt;2007&lt;/Year&gt;&lt;RecNum&gt;3306&lt;/RecNum&gt;&lt;DisplayText&gt;Oishi (2007)&lt;/DisplayText&gt;&lt;record&gt;&lt;rec-number&gt;3306&lt;/rec-number&gt;&lt;foreign-keys&gt;&lt;key app="EN" db-id="z2xarpe9cfrvp4ezdxk5ddx9dsrzr05f22sa" timestamp="1509779727"&gt;3306&lt;/key&gt;&lt;/foreign-keys&gt;&lt;ref-type name="Book Section"&gt;5&lt;/ref-type&gt;&lt;contributors&gt;&lt;authors&gt;&lt;author&gt;Oishi, S.&lt;/author&gt;&lt;/authors&gt;&lt;secondary-authors&gt;&lt;author&gt;A. D. Ong&lt;/author&gt;&lt;author&gt;M. van Dulmen&lt;/author&gt;&lt;/secondary-authors&gt;&lt;/contributors&gt;&lt;titles&gt;&lt;title&gt;The application of structural equation modeling and item response theory to cross-cultural positive psychology research&lt;/title&gt;&lt;secondary-title&gt;Handbook of methods in positive psychology&lt;/secondary-title&gt;&lt;/titles&gt;&lt;pages&gt;126-138&lt;/pages&gt;&lt;dates&gt;&lt;year&gt;2007&lt;/year&gt;&lt;/dates&gt;&lt;pub-location&gt;New York&lt;/pub-location&gt;&lt;publisher&gt;Oxford University Press&lt;/publisher&gt;&lt;urls&gt;&lt;/urls&gt;&lt;/record&gt;&lt;/Cite&gt;&lt;/EndNote&gt;</w:instrText>
      </w:r>
      <w:r w:rsidRPr="00E425D4">
        <w:rPr>
          <w:rFonts w:eastAsia="Arial" w:cs="Times New Roman"/>
        </w:rPr>
        <w:fldChar w:fldCharType="separate"/>
      </w:r>
      <w:r>
        <w:rPr>
          <w:rFonts w:eastAsia="Arial" w:cs="Times New Roman"/>
          <w:noProof/>
        </w:rPr>
        <w:t>Oishi (2007)</w:t>
      </w:r>
      <w:r w:rsidRPr="00E425D4">
        <w:rPr>
          <w:rFonts w:eastAsia="Arial" w:cs="Times New Roman"/>
        </w:rPr>
        <w:fldChar w:fldCharType="end"/>
      </w:r>
      <w:r w:rsidRPr="00E425D4">
        <w:rPr>
          <w:rFonts w:eastAsia="Arial" w:cs="Times New Roman"/>
        </w:rPr>
        <w:t xml:space="preserve"> </w:t>
      </w:r>
      <w:r>
        <w:rPr>
          <w:rFonts w:eastAsia="Arial" w:cs="Times New Roman"/>
        </w:rPr>
        <w:t xml:space="preserve">found that </w:t>
      </w:r>
      <w:r w:rsidRPr="00E425D4">
        <w:rPr>
          <w:rFonts w:eastAsia="Arial" w:cs="Times New Roman"/>
        </w:rPr>
        <w:t>Chinese report low levels of</w:t>
      </w:r>
      <w:r>
        <w:rPr>
          <w:rFonts w:eastAsia="Arial" w:cs="Times New Roman"/>
        </w:rPr>
        <w:t xml:space="preserve"> feeling</w:t>
      </w:r>
      <w:r w:rsidRPr="00E425D4">
        <w:rPr>
          <w:rFonts w:eastAsia="Arial" w:cs="Times New Roman"/>
        </w:rPr>
        <w:t xml:space="preserve"> ‘proud’, despite high levels of other positive emotions (e.g., excited, enthusiastic, interested, determined), whereas Americans</w:t>
      </w:r>
      <w:r>
        <w:rPr>
          <w:rFonts w:eastAsia="Arial" w:cs="Times New Roman"/>
        </w:rPr>
        <w:t xml:space="preserve"> r</w:t>
      </w:r>
      <w:r w:rsidRPr="00E425D4">
        <w:rPr>
          <w:rFonts w:eastAsia="Arial" w:cs="Times New Roman"/>
        </w:rPr>
        <w:t xml:space="preserve">eport feeling proud quite often, as well the other positive emotions. </w:t>
      </w:r>
      <w:r>
        <w:rPr>
          <w:rFonts w:eastAsia="Arial" w:cs="Times New Roman"/>
        </w:rPr>
        <w:t>These findings are c</w:t>
      </w:r>
      <w:r w:rsidRPr="00E425D4">
        <w:rPr>
          <w:rFonts w:eastAsia="Arial" w:cs="Times New Roman"/>
        </w:rPr>
        <w:t>onsistent with</w:t>
      </w:r>
      <w:r>
        <w:rPr>
          <w:rFonts w:eastAsia="Arial" w:cs="Times New Roman"/>
        </w:rPr>
        <w:t xml:space="preserve"> </w:t>
      </w:r>
      <w:r w:rsidRPr="00E425D4">
        <w:rPr>
          <w:rFonts w:eastAsia="Arial" w:cs="Times New Roman"/>
        </w:rPr>
        <w:t xml:space="preserve">the self-enhancement versus self-criticism literature </w:t>
      </w:r>
      <w:r w:rsidRPr="00E425D4">
        <w:rPr>
          <w:rFonts w:eastAsia="Arial" w:cs="Times New Roman"/>
        </w:rPr>
        <w:fldChar w:fldCharType="begin"/>
      </w:r>
      <w:r w:rsidRPr="00E425D4">
        <w:rPr>
          <w:rFonts w:eastAsia="Arial" w:cs="Times New Roman"/>
        </w:rPr>
        <w:instrText xml:space="preserve"> ADDIN EN.CITE &lt;EndNote&gt;&lt;Cite&gt;&lt;Author&gt;Heine&lt;/Author&gt;&lt;Year&gt;1999&lt;/Year&gt;&lt;RecNum&gt;3307&lt;/RecNum&gt;&lt;DisplayText&gt;(Heine, Lehman, Markus, &amp;amp; Kitayama, 1999; Markus &amp;amp; Kitayama, 1991)&lt;/DisplayText&gt;&lt;record&gt;&lt;rec-number&gt;3307&lt;/rec-number&gt;&lt;foreign-keys&gt;&lt;key app="EN" db-id="z2xarpe9cfrvp4ezdxk5ddx9dsrzr05f22sa" timestamp="1509828668"&gt;3307&lt;/key&gt;&lt;/foreign-keys&gt;&lt;ref-type name="Journal Article"&gt;17&lt;/ref-type&gt;&lt;contributors&gt;&lt;authors&gt;&lt;author&gt;Heine, S. J.&lt;/author&gt;&lt;author&gt;Lehman, Darrin R&lt;/author&gt;&lt;author&gt;Markus, Hazel Rose&lt;/author&gt;&lt;author&gt;Kitayama, Shinobu&lt;/author&gt;&lt;/authors&gt;&lt;/contributors&gt;&lt;titles&gt;&lt;title&gt;Is there a universal need for positive self-regard?&lt;/title&gt;&lt;secondary-title&gt;Psychological review&lt;/secondary-title&gt;&lt;/titles&gt;&lt;periodical&gt;&lt;full-title&gt;Psychological Review&lt;/full-title&gt;&lt;/periodical&gt;&lt;pages&gt;766-794&lt;/pages&gt;&lt;volume&gt;106&lt;/volume&gt;&lt;number&gt;4&lt;/number&gt;&lt;dates&gt;&lt;year&gt;1999&lt;/year&gt;&lt;/dates&gt;&lt;isbn&gt;1939-1471&lt;/isbn&gt;&lt;urls&gt;&lt;/urls&gt;&lt;/record&gt;&lt;/Cite&gt;&lt;Cite&gt;&lt;Author&gt;Markus&lt;/Author&gt;&lt;Year&gt;1991&lt;/Year&gt;&lt;RecNum&gt;2189&lt;/RecNum&gt;&lt;record&gt;&lt;rec-number&gt;2189&lt;/rec-number&gt;&lt;foreign-keys&gt;&lt;key app="EN" db-id="z2xarpe9cfrvp4ezdxk5ddx9dsrzr05f22sa" timestamp="1442109553"&gt;2189&lt;/key&gt;&lt;/foreign-keys&gt;&lt;ref-type name="Journal Article"&gt;17&lt;/ref-type&gt;&lt;contributors&gt;&lt;authors&gt;&lt;author&gt;Markus, H. R.&lt;/author&gt;&lt;author&gt;Kitayama, Shinobu&lt;/author&gt;&lt;/authors&gt;&lt;/contributors&gt;&lt;titles&gt;&lt;title&gt;Culture and the self: Implications for cognition, emotion, and motivation&lt;/title&gt;&lt;secondary-title&gt;Psychological review&lt;/secondary-title&gt;&lt;/titles&gt;&lt;periodical&gt;&lt;full-title&gt;Psychological Review&lt;/full-title&gt;&lt;/periodical&gt;&lt;pages&gt;224-253&lt;/pages&gt;&lt;volume&gt;98&lt;/volume&gt;&lt;number&gt;2&lt;/number&gt;&lt;dates&gt;&lt;year&gt;1991&lt;/year&gt;&lt;/dates&gt;&lt;isbn&gt;1939-1471&lt;/isbn&gt;&lt;urls&gt;&lt;/urls&gt;&lt;/record&gt;&lt;/Cite&gt;&lt;/EndNote&gt;</w:instrText>
      </w:r>
      <w:r w:rsidRPr="00E425D4">
        <w:rPr>
          <w:rFonts w:eastAsia="Arial" w:cs="Times New Roman"/>
        </w:rPr>
        <w:fldChar w:fldCharType="separate"/>
      </w:r>
      <w:r w:rsidRPr="00E425D4">
        <w:rPr>
          <w:rFonts w:eastAsia="Arial" w:cs="Times New Roman"/>
          <w:noProof/>
        </w:rPr>
        <w:t>(Heine, Lehman, Markus, &amp; Kitayama, 1999; Markus &amp; Kitayama, 1991)</w:t>
      </w:r>
      <w:r w:rsidRPr="00E425D4">
        <w:rPr>
          <w:rFonts w:eastAsia="Arial" w:cs="Times New Roman"/>
        </w:rPr>
        <w:fldChar w:fldCharType="end"/>
      </w:r>
      <w:r>
        <w:rPr>
          <w:rFonts w:eastAsia="Arial" w:cs="Times New Roman"/>
        </w:rPr>
        <w:t>. While</w:t>
      </w:r>
      <w:r w:rsidRPr="00E425D4">
        <w:rPr>
          <w:rFonts w:eastAsia="Arial" w:cs="Times New Roman"/>
        </w:rPr>
        <w:t xml:space="preserve"> pride is a signature positive emotion among typically self-enhancing Americans, </w:t>
      </w:r>
      <w:r>
        <w:rPr>
          <w:rFonts w:eastAsia="Arial" w:cs="Times New Roman"/>
        </w:rPr>
        <w:t>it is</w:t>
      </w:r>
      <w:r w:rsidRPr="00E425D4">
        <w:rPr>
          <w:rFonts w:eastAsia="Arial" w:cs="Times New Roman"/>
        </w:rPr>
        <w:t xml:space="preserve"> not a positive emotion among typically self-critical Chinese.</w:t>
      </w:r>
      <w:r>
        <w:rPr>
          <w:rFonts w:eastAsia="Arial" w:cs="Times New Roman"/>
        </w:rPr>
        <w:t xml:space="preserve"> </w:t>
      </w:r>
    </w:p>
    <w:p w:rsidR="003C37DF" w:rsidRDefault="003C37DF" w:rsidP="003C37DF"/>
    <w:p w:rsidR="003C37DF" w:rsidRPr="00C63B93" w:rsidRDefault="003C37DF" w:rsidP="003C37DF">
      <w:pPr>
        <w:rPr>
          <w:rFonts w:eastAsia="Arial" w:cs="Times New Roman"/>
        </w:rPr>
      </w:pPr>
      <w:r>
        <w:t>4. At the</w:t>
      </w:r>
      <w:r w:rsidR="0062633B">
        <w:t xml:space="preserve"> interpretive</w:t>
      </w:r>
      <w:r>
        <w:t xml:space="preserve"> level of whole questions, </w:t>
      </w:r>
      <w:r w:rsidRPr="00C63B93">
        <w:rPr>
          <w:rFonts w:eastAsia="Arial" w:cs="Times New Roman"/>
        </w:rPr>
        <w:fldChar w:fldCharType="begin"/>
      </w:r>
      <w:r>
        <w:rPr>
          <w:rFonts w:eastAsia="Arial" w:cs="Times New Roman"/>
        </w:rPr>
        <w:instrText xml:space="preserve"> ADDIN EN.CITE &lt;EndNote&gt;&lt;Cite AuthorYear="1"&gt;&lt;Author&gt;Oishi&lt;/Author&gt;&lt;Year&gt;2006&lt;/Year&gt;&lt;RecNum&gt;3295&lt;/RecNum&gt;&lt;DisplayText&gt;Oishi (2006)&lt;/DisplayText&gt;&lt;record&gt;&lt;rec-number&gt;3295&lt;/rec-number&gt;&lt;foreign-keys&gt;&lt;key app="EN" db-id="z2xarpe9cfrvp4ezdxk5ddx9dsrzr05f22sa" timestamp="1509237561"&gt;3295&lt;/key&gt;&lt;/foreign-keys&gt;&lt;ref-type name="Journal Article"&gt;17&lt;/ref-type&gt;&lt;contributors&gt;&lt;authors&gt;&lt;author&gt;Oishi, S.&lt;/author&gt;&lt;/authors&gt;&lt;/contributors&gt;&lt;titles&gt;&lt;title&gt;The concept of life satisfaction across cultures: An IRT analysis&lt;/title&gt;&lt;secondary-title&gt;Journal of Research in Personality&lt;/secondary-title&gt;&lt;/titles&gt;&lt;periodical&gt;&lt;full-title&gt;Journal of Research in Personality&lt;/full-title&gt;&lt;/periodical&gt;&lt;pages&gt;411-423&lt;/pages&gt;&lt;volume&gt;40&lt;/volume&gt;&lt;number&gt;4&lt;/number&gt;&lt;dates&gt;&lt;year&gt;2006&lt;/year&gt;&lt;/dates&gt;&lt;isbn&gt;0092-6566&lt;/isbn&gt;&lt;urls&gt;&lt;/urls&gt;&lt;/record&gt;&lt;/Cite&gt;&lt;/EndNote&gt;</w:instrText>
      </w:r>
      <w:r w:rsidRPr="00C63B93">
        <w:rPr>
          <w:rFonts w:eastAsia="Arial" w:cs="Times New Roman"/>
        </w:rPr>
        <w:fldChar w:fldCharType="separate"/>
      </w:r>
      <w:r>
        <w:rPr>
          <w:rFonts w:eastAsia="Arial" w:cs="Times New Roman"/>
          <w:noProof/>
        </w:rPr>
        <w:t>Oishi (2006)</w:t>
      </w:r>
      <w:r w:rsidRPr="00C63B93">
        <w:rPr>
          <w:rFonts w:eastAsia="Arial" w:cs="Times New Roman"/>
        </w:rPr>
        <w:fldChar w:fldCharType="end"/>
      </w:r>
      <w:r w:rsidRPr="00C63B93">
        <w:rPr>
          <w:rFonts w:eastAsia="Arial" w:cs="Times New Roman"/>
        </w:rPr>
        <w:t xml:space="preserve"> notes that the </w:t>
      </w:r>
      <w:r w:rsidR="0062633B">
        <w:rPr>
          <w:rFonts w:eastAsia="Arial" w:cs="Times New Roman"/>
        </w:rPr>
        <w:t>Satisfaction with Life Scale</w:t>
      </w:r>
      <w:r w:rsidRPr="00C63B93">
        <w:rPr>
          <w:rFonts w:eastAsia="Arial" w:cs="Times New Roman"/>
        </w:rPr>
        <w:t xml:space="preserve"> item 5 ‘</w:t>
      </w:r>
      <w:r w:rsidRPr="00C63B93">
        <w:rPr>
          <w:rFonts w:eastAsia="Arial" w:cs="Times New Roman"/>
          <w:bCs/>
          <w:szCs w:val="20"/>
        </w:rPr>
        <w:t>If I could live my life over, I would change almost nothing’</w:t>
      </w:r>
      <w:r w:rsidRPr="00C63B93">
        <w:rPr>
          <w:rFonts w:eastAsia="Arial" w:cs="Times New Roman"/>
        </w:rPr>
        <w:t>,</w:t>
      </w:r>
      <w:r w:rsidRPr="00C63B93">
        <w:rPr>
          <w:rFonts w:eastAsia="Arial" w:cs="Times New Roman"/>
          <w:bCs/>
          <w:szCs w:val="20"/>
        </w:rPr>
        <w:t xml:space="preserve"> </w:t>
      </w:r>
      <w:r>
        <w:rPr>
          <w:rFonts w:eastAsia="Arial" w:cs="Times New Roman"/>
          <w:bCs/>
          <w:szCs w:val="20"/>
        </w:rPr>
        <w:t xml:space="preserve">is not comparable between Chinese and American cultures. This item </w:t>
      </w:r>
      <w:r w:rsidRPr="00C63B93">
        <w:rPr>
          <w:rFonts w:eastAsia="Arial" w:cs="Times New Roman"/>
        </w:rPr>
        <w:t xml:space="preserve">uses counterfactual reasoning, and </w:t>
      </w:r>
      <w:r>
        <w:rPr>
          <w:rFonts w:eastAsia="Arial" w:cs="Times New Roman"/>
        </w:rPr>
        <w:t>he notes “</w:t>
      </w:r>
      <w:r w:rsidRPr="00C63B93">
        <w:rPr>
          <w:rFonts w:eastAsia="Arial" w:cs="Times New Roman"/>
        </w:rPr>
        <w:t>that this might be particularly difficult to translate in a culture</w:t>
      </w:r>
      <w:r w:rsidRPr="00C63B93">
        <w:rPr>
          <w:rFonts w:eastAsia="Arial" w:cs="Times New Roman"/>
          <w:bCs/>
          <w:szCs w:val="20"/>
        </w:rPr>
        <w:t xml:space="preserve"> </w:t>
      </w:r>
      <w:r w:rsidRPr="00C63B93">
        <w:rPr>
          <w:rFonts w:eastAsia="Arial" w:cs="Times New Roman"/>
        </w:rPr>
        <w:t xml:space="preserve">where counterfactual thinking is not employed as often as in Western cultures </w:t>
      </w:r>
      <w:r w:rsidRPr="00C63B93">
        <w:rPr>
          <w:rFonts w:eastAsia="Arial" w:cs="Times New Roman"/>
        </w:rPr>
        <w:fldChar w:fldCharType="begin"/>
      </w:r>
      <w:r w:rsidRPr="00C63B93">
        <w:rPr>
          <w:rFonts w:eastAsia="Arial" w:cs="Times New Roman"/>
        </w:rPr>
        <w:instrText xml:space="preserve"> ADDIN EN.CITE &lt;EndNote&gt;&lt;Cite&gt;&lt;Author&gt;Bloom&lt;/Author&gt;&lt;Year&gt;1981&lt;/Year&gt;&lt;RecNum&gt;3308&lt;/RecNum&gt;&lt;DisplayText&gt;(Bloom, 1981)&lt;/DisplayText&gt;&lt;record&gt;&lt;rec-number&gt;3308&lt;/rec-number&gt;&lt;foreign-keys&gt;&lt;key app="EN" db-id="z2xarpe9cfrvp4ezdxk5ddx9dsrzr05f22sa" timestamp="1509830401"&gt;3308&lt;/key&gt;&lt;/foreign-keys&gt;&lt;ref-type name="Book"&gt;6&lt;/ref-type&gt;&lt;contributors&gt;&lt;authors&gt;&lt;author&gt;Bloom, A.&lt;/author&gt;&lt;/authors&gt;&lt;/contributors&gt;&lt;titles&gt;&lt;title&gt;The linguistic shaping of thought&lt;/title&gt;&lt;/titles&gt;&lt;dates&gt;&lt;year&gt;1981&lt;/year&gt;&lt;/dates&gt;&lt;pub-location&gt;Hillsdale, NJ&lt;/pub-location&gt;&lt;publisher&gt;Earlbaum&lt;/publisher&gt;&lt;urls&gt;&lt;/urls&gt;&lt;/record&gt;&lt;/Cite&gt;&lt;/EndNote&gt;</w:instrText>
      </w:r>
      <w:r w:rsidRPr="00C63B93">
        <w:rPr>
          <w:rFonts w:eastAsia="Arial" w:cs="Times New Roman"/>
        </w:rPr>
        <w:fldChar w:fldCharType="separate"/>
      </w:r>
      <w:r w:rsidRPr="00C63B93">
        <w:rPr>
          <w:rFonts w:eastAsia="Arial" w:cs="Times New Roman"/>
          <w:noProof/>
        </w:rPr>
        <w:t>(Bloom, 1981)</w:t>
      </w:r>
      <w:r w:rsidRPr="00C63B93">
        <w:rPr>
          <w:rFonts w:eastAsia="Arial" w:cs="Times New Roman"/>
        </w:rPr>
        <w:fldChar w:fldCharType="end"/>
      </w:r>
      <w:r w:rsidRPr="00C63B93">
        <w:rPr>
          <w:rFonts w:eastAsia="Arial" w:cs="Times New Roman"/>
        </w:rPr>
        <w:t>” (p.422).</w:t>
      </w:r>
    </w:p>
    <w:p w:rsidR="003C37DF" w:rsidRDefault="003C37DF" w:rsidP="003C37DF"/>
    <w:p w:rsidR="003C37DF" w:rsidRDefault="003C37DF" w:rsidP="003C37DF">
      <w:r>
        <w:t xml:space="preserve">5. Many scales do not factor as intended by their authors and this failure is particularly evident between cultural groups. Such failure is an almost universal finding for multi-factorial scales, such as </w:t>
      </w:r>
      <w:proofErr w:type="spellStart"/>
      <w:r>
        <w:t>Ryff’s</w:t>
      </w:r>
      <w:proofErr w:type="spellEnd"/>
      <w:r>
        <w:t xml:space="preserve"> Scales of Psychological Wellbeing (see </w:t>
      </w:r>
      <w:proofErr w:type="spellStart"/>
      <w:r>
        <w:t>ACQol</w:t>
      </w:r>
      <w:proofErr w:type="spellEnd"/>
      <w:r>
        <w:t xml:space="preserve"> Bulletin Vol 3/24: 130619). Thus, the sub-scales are unreliable, of uncertain validity, and their data combination is uninterpretable.  </w:t>
      </w:r>
    </w:p>
    <w:p w:rsidR="003C37DF" w:rsidRDefault="003C37DF" w:rsidP="003C37DF"/>
    <w:p w:rsidR="003C37DF" w:rsidRDefault="003C37DF" w:rsidP="003C37DF">
      <w:r>
        <w:t xml:space="preserve">6. Some rather subtle sources of bias may defeat systematic reviews when authors are insufficiently familiar with the literature. This was demonstrated in respect of the systematic review of </w:t>
      </w:r>
      <w:proofErr w:type="spellStart"/>
      <w:r>
        <w:t>biophilia</w:t>
      </w:r>
      <w:proofErr w:type="spellEnd"/>
      <w:r>
        <w:t xml:space="preserve"> therapy by </w:t>
      </w:r>
      <w:r>
        <w:fldChar w:fldCharType="begin"/>
      </w:r>
      <w:r>
        <w:instrText xml:space="preserve"> ADDIN EN.CITE &lt;EndNote&gt;&lt;Cite AuthorYear="1"&gt;&lt;Author&gt;Trostrup&lt;/Author&gt;&lt;Year&gt;2019&lt;/Year&gt;&lt;RecNum&gt;3870&lt;/RecNum&gt;&lt;DisplayText&gt;Trostrup, Christiansen, Stølen, Nielsen, and Stelter (2019)&lt;/DisplayText&gt;&lt;record&gt;&lt;rec-number&gt;3870&lt;/rec-number&gt;&lt;foreign-keys&gt;&lt;key app="EN" db-id="z2xarpe9cfrvp4ezdxk5ddx9dsrzr05f22sa" timestamp="1561113731"&gt;3870&lt;/key&gt;&lt;/foreign-keys&gt;&lt;ref-type name="Journal Article"&gt;17&lt;/ref-type&gt;&lt;contributors&gt;&lt;authors&gt;&lt;author&gt;Trostrup, C. H.&lt;/author&gt;&lt;author&gt;Christiansen, A B&lt;/author&gt;&lt;author&gt;Stølen, K S&lt;/author&gt;&lt;author&gt;Nielsen, P K&lt;/author&gt;&lt;author&gt;Stelter, R&lt;/author&gt;&lt;/authors&gt;&lt;/contributors&gt;&lt;titles&gt;&lt;title&gt;The effect of nature exposure on the mental health of patients: a systematic review&lt;/title&gt;&lt;secondary-title&gt;Quality of Life Research&lt;/secondary-title&gt;&lt;/titles&gt;&lt;periodical&gt;&lt;full-title&gt;Quality of Life Research&lt;/full-title&gt;&lt;/periodical&gt;&lt;pages&gt;1695–1703&lt;/pages&gt;&lt;volume&gt;28&lt;/volume&gt;&lt;dates&gt;&lt;year&gt;2019&lt;/year&gt;&lt;/dates&gt;&lt;isbn&gt;0962-9343&lt;/isbn&gt;&lt;urls&gt;&lt;/urls&gt;&lt;/record&gt;&lt;/Cite&gt;&lt;/EndNote&gt;</w:instrText>
      </w:r>
      <w:r>
        <w:fldChar w:fldCharType="separate"/>
      </w:r>
      <w:r>
        <w:rPr>
          <w:noProof/>
        </w:rPr>
        <w:t>Trostrup, Christiansen, Stølen, Nielsen, and Stelter (2019)</w:t>
      </w:r>
      <w:r>
        <w:fldChar w:fldCharType="end"/>
      </w:r>
      <w:r>
        <w:t xml:space="preserve">. As reported in </w:t>
      </w:r>
      <w:proofErr w:type="spellStart"/>
      <w:r w:rsidRPr="001D74AD">
        <w:t>ACQol</w:t>
      </w:r>
      <w:proofErr w:type="spellEnd"/>
      <w:r w:rsidRPr="001D74AD">
        <w:t xml:space="preserve"> Bulletin </w:t>
      </w:r>
      <w:r w:rsidR="002319C6">
        <w:t>(</w:t>
      </w:r>
      <w:r w:rsidRPr="001D74AD">
        <w:t>Vol 3/26: 270619</w:t>
      </w:r>
      <w:r w:rsidR="002319C6">
        <w:t>)</w:t>
      </w:r>
      <w:r>
        <w:t xml:space="preserve">, the authors failed to observe that the </w:t>
      </w:r>
      <w:proofErr w:type="spellStart"/>
      <w:r>
        <w:t>biophilia</w:t>
      </w:r>
      <w:proofErr w:type="spellEnd"/>
      <w:r>
        <w:t xml:space="preserve"> treatments they listed </w:t>
      </w:r>
      <w:r w:rsidR="002319C6">
        <w:t xml:space="preserve">positively </w:t>
      </w:r>
      <w:r>
        <w:t>biased the treatment groups by providing an enhanced opportunity for relationship formation and achieving something interesting.</w:t>
      </w:r>
      <w:r w:rsidRPr="001D74AD">
        <w:t xml:space="preserve">  </w:t>
      </w:r>
    </w:p>
    <w:p w:rsidR="003C37DF" w:rsidRDefault="003C37DF" w:rsidP="003C37DF"/>
    <w:p w:rsidR="003C37DF" w:rsidRDefault="003C37DF" w:rsidP="003C37DF">
      <w:r>
        <w:t xml:space="preserve">And so on. So this discussion raises the question of whether it even possible to construct valid and reliable systematic reviews in the area of subjective wellbeing. My guess is that, if it is possible, then it will only be so when conducted by an expert in the area. Moreover, by the time they have done with explaining their reasoning and justification for combining results, </w:t>
      </w:r>
      <w:r w:rsidR="00A10EAB">
        <w:t xml:space="preserve">a superior form of communication may have been </w:t>
      </w:r>
      <w:r>
        <w:t>a critical narrative review</w:t>
      </w:r>
      <w:r w:rsidR="002319C6">
        <w:t>.</w:t>
      </w:r>
    </w:p>
    <w:p w:rsidR="003B1106" w:rsidRDefault="003B1106" w:rsidP="00680CF6">
      <w:pPr>
        <w:rPr>
          <w:rFonts w:eastAsia="Arial" w:cs="Times New Roman"/>
          <w:i/>
        </w:rPr>
      </w:pPr>
    </w:p>
    <w:p w:rsidR="00680CF6" w:rsidRPr="00CD5885" w:rsidRDefault="00680CF6" w:rsidP="00680CF6">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680CF6" w:rsidRPr="00BB5D46" w:rsidRDefault="00680CF6" w:rsidP="00680CF6">
      <w:pPr>
        <w:jc w:val="center"/>
        <w:rPr>
          <w:rFonts w:eastAsia="Arial" w:cs="Times New Roman"/>
          <w:i/>
        </w:rPr>
      </w:pPr>
    </w:p>
    <w:p w:rsidR="00680CF6" w:rsidRPr="00BB5D46" w:rsidRDefault="00680CF6" w:rsidP="00680CF6">
      <w:pPr>
        <w:jc w:val="center"/>
        <w:rPr>
          <w:rFonts w:eastAsia="Arial" w:cs="Times New Roman"/>
          <w:i/>
        </w:rPr>
      </w:pPr>
      <w:r w:rsidRPr="00BB5D46">
        <w:rPr>
          <w:rFonts w:eastAsia="Arial" w:cs="Times New Roman"/>
          <w:i/>
        </w:rPr>
        <w:t xml:space="preserve">Further discussion of </w:t>
      </w:r>
      <w:r w:rsidR="002B293C">
        <w:rPr>
          <w:rFonts w:eastAsia="Arial" w:cs="Times New Roman"/>
          <w:i/>
        </w:rPr>
        <w:t>this paper,</w:t>
      </w:r>
      <w:r w:rsidRPr="00BB5D46">
        <w:rPr>
          <w:rFonts w:eastAsia="Arial" w:cs="Times New Roman"/>
          <w:i/>
        </w:rPr>
        <w:t xml:space="preserve"> for circulation to members, is invited. Send to: </w:t>
      </w:r>
      <w:hyperlink r:id="rId144" w:history="1">
        <w:r w:rsidRPr="00BB5D46">
          <w:rPr>
            <w:rFonts w:eastAsia="Arial" w:cs="Times New Roman"/>
            <w:i/>
            <w:color w:val="0563C1"/>
            <w:u w:val="single"/>
          </w:rPr>
          <w:t>robert.cummins@deakin.edu.au</w:t>
        </w:r>
      </w:hyperlink>
    </w:p>
    <w:p w:rsidR="00680CF6" w:rsidRPr="00BB5D46" w:rsidRDefault="00680CF6" w:rsidP="00680CF6">
      <w:pPr>
        <w:jc w:val="center"/>
        <w:rPr>
          <w:rFonts w:eastAsia="Arial" w:cs="Times New Roman"/>
          <w:i/>
        </w:rPr>
      </w:pPr>
      <w:r w:rsidRPr="00BB5D46">
        <w:rPr>
          <w:rFonts w:eastAsia="Arial" w:cs="Times New Roman"/>
          <w:i/>
        </w:rPr>
        <w:t xml:space="preserve">Substantive comments received by midnight on </w:t>
      </w:r>
      <w:r w:rsidRPr="002B293C">
        <w:rPr>
          <w:rFonts w:eastAsia="Arial" w:cs="Times New Roman"/>
          <w:i/>
        </w:rPr>
        <w:t xml:space="preserve">Monday </w:t>
      </w:r>
      <w:r w:rsidR="002B293C" w:rsidRPr="002B293C">
        <w:rPr>
          <w:rFonts w:eastAsia="Arial" w:cs="Times New Roman"/>
          <w:i/>
        </w:rPr>
        <w:t>26</w:t>
      </w:r>
      <w:r w:rsidR="002B293C" w:rsidRPr="002B293C">
        <w:rPr>
          <w:rFonts w:eastAsia="Arial" w:cs="Times New Roman"/>
          <w:i/>
          <w:vertAlign w:val="superscript"/>
        </w:rPr>
        <w:t>th</w:t>
      </w:r>
      <w:r w:rsidRPr="002B293C">
        <w:rPr>
          <w:rFonts w:eastAsia="Arial" w:cs="Times New Roman"/>
          <w:i/>
        </w:rPr>
        <w:t xml:space="preserve"> </w:t>
      </w:r>
      <w:r w:rsidR="002B293C" w:rsidRPr="002B293C">
        <w:rPr>
          <w:rFonts w:eastAsia="Arial" w:cs="Times New Roman"/>
          <w:i/>
        </w:rPr>
        <w:t>August</w:t>
      </w:r>
      <w:r w:rsidRPr="002B293C">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FB5AD0" w:rsidRDefault="00FB5AD0" w:rsidP="00FB5AD0">
      <w:pPr>
        <w:rPr>
          <w:rFonts w:eastAsia="Arial" w:cs="Times New Roman"/>
          <w:i/>
        </w:rPr>
      </w:pPr>
    </w:p>
    <w:p w:rsidR="00FB5AD0" w:rsidRPr="00BB5D46" w:rsidRDefault="00FB5AD0" w:rsidP="00FB5AD0">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w:t>
      </w:r>
      <w:r>
        <w:rPr>
          <w:rFonts w:eastAsia="Arial" w:cs="Times New Roman"/>
          <w:i/>
        </w:rPr>
        <w:t>, queries or comments,</w:t>
      </w:r>
      <w:r w:rsidRPr="00BB5D46">
        <w:rPr>
          <w:rFonts w:eastAsia="Arial" w:cs="Times New Roman"/>
          <w:i/>
        </w:rPr>
        <w:t xml:space="preserve"> on the topic of life quality, for distribution and discussion by members under these same conditions.</w:t>
      </w:r>
    </w:p>
    <w:p w:rsidR="00680CF6" w:rsidRPr="00BB5D46" w:rsidRDefault="00680CF6" w:rsidP="002B293C">
      <w:pPr>
        <w:rPr>
          <w:rFonts w:eastAsia="Arial" w:cs="Times New Roman"/>
          <w:b/>
          <w:color w:val="000000"/>
          <w:sz w:val="32"/>
          <w:szCs w:val="32"/>
          <w:lang w:val="en-US"/>
        </w:rPr>
      </w:pPr>
    </w:p>
    <w:p w:rsidR="00680CF6" w:rsidRDefault="00680CF6" w:rsidP="00680CF6">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680CF6" w:rsidRPr="004A2F62" w:rsidRDefault="00680CF6" w:rsidP="00680CF6">
      <w:pPr>
        <w:jc w:val="center"/>
        <w:rPr>
          <w:rFonts w:eastAsia="Calibri" w:cs="Times New Roman"/>
          <w:i/>
          <w:szCs w:val="22"/>
        </w:rPr>
      </w:pPr>
      <w:r w:rsidRPr="007F0718">
        <w:rPr>
          <w:rFonts w:eastAsia="Calibri" w:cs="Times New Roman"/>
          <w:i/>
          <w:szCs w:val="22"/>
        </w:rPr>
        <w:t>Sourced from the Analysis &amp; Policy Observatory</w:t>
      </w:r>
    </w:p>
    <w:p w:rsidR="00680CF6" w:rsidRPr="00BB5D46" w:rsidRDefault="00680CF6" w:rsidP="00680CF6">
      <w:pPr>
        <w:jc w:val="center"/>
        <w:rPr>
          <w:rFonts w:eastAsia="Arial" w:cs="Times New Roman"/>
          <w:b/>
          <w:color w:val="000000"/>
          <w:sz w:val="32"/>
          <w:szCs w:val="32"/>
          <w:lang w:val="en-US"/>
        </w:rPr>
      </w:pPr>
    </w:p>
    <w:p w:rsidR="00AB6B5A" w:rsidRDefault="00AB6B5A" w:rsidP="00680CF6">
      <w:pPr>
        <w:rPr>
          <w:rFonts w:ascii="Segoe UI" w:hAnsi="Segoe UI" w:cs="Segoe UI"/>
          <w:sz w:val="18"/>
          <w:szCs w:val="18"/>
        </w:rPr>
      </w:pPr>
      <w:r>
        <w:rPr>
          <w:rFonts w:ascii="Segoe UI" w:hAnsi="Segoe UI" w:cs="Segoe UI"/>
          <w:sz w:val="18"/>
          <w:szCs w:val="18"/>
        </w:rPr>
        <w:t xml:space="preserve">Wallace, J. (2019). </w:t>
      </w:r>
      <w:r>
        <w:rPr>
          <w:rFonts w:ascii="Segoe UI" w:hAnsi="Segoe UI" w:cs="Segoe UI"/>
          <w:i/>
          <w:iCs/>
          <w:sz w:val="18"/>
          <w:szCs w:val="18"/>
        </w:rPr>
        <w:t>The enabling state: Where are we now?</w:t>
      </w:r>
      <w:r>
        <w:rPr>
          <w:rFonts w:ascii="Segoe UI" w:hAnsi="Segoe UI" w:cs="Segoe UI"/>
          <w:sz w:val="18"/>
          <w:szCs w:val="18"/>
        </w:rPr>
        <w:t xml:space="preserve"> </w:t>
      </w:r>
      <w:proofErr w:type="spellStart"/>
      <w:r>
        <w:rPr>
          <w:rFonts w:ascii="Segoe UI" w:hAnsi="Segoe UI" w:cs="Segoe UI"/>
          <w:sz w:val="18"/>
          <w:szCs w:val="18"/>
        </w:rPr>
        <w:t>Dunfermline</w:t>
      </w:r>
      <w:proofErr w:type="spellEnd"/>
      <w:r>
        <w:rPr>
          <w:rFonts w:ascii="Segoe UI" w:hAnsi="Segoe UI" w:cs="Segoe UI"/>
          <w:sz w:val="18"/>
          <w:szCs w:val="18"/>
        </w:rPr>
        <w:t xml:space="preserve"> Carnegie UK Trust.</w:t>
      </w:r>
    </w:p>
    <w:p w:rsidR="00AB6B5A" w:rsidRDefault="00DF3874" w:rsidP="00AB6B5A">
      <w:pPr>
        <w:autoSpaceDE w:val="0"/>
        <w:autoSpaceDN w:val="0"/>
        <w:adjustRightInd w:val="0"/>
        <w:rPr>
          <w:rFonts w:eastAsia="Arial" w:cs="Times New Roman"/>
          <w:color w:val="000000"/>
          <w:sz w:val="20"/>
          <w:szCs w:val="20"/>
          <w:lang w:val="en-US"/>
        </w:rPr>
      </w:pPr>
      <w:hyperlink r:id="rId145" w:history="1">
        <w:r w:rsidR="00AB6B5A" w:rsidRPr="00447B1D">
          <w:rPr>
            <w:rStyle w:val="Hyperlink"/>
            <w:rFonts w:eastAsia="Arial" w:cs="Times New Roman"/>
            <w:sz w:val="20"/>
            <w:szCs w:val="20"/>
            <w:lang w:val="en-US"/>
          </w:rPr>
          <w:t>https://apo.org.au/sites/default/files/resource-files/2019/08/apo-nid252746-1378926.pdf</w:t>
        </w:r>
      </w:hyperlink>
    </w:p>
    <w:p w:rsidR="00AB6B5A" w:rsidRPr="00AB6B5A" w:rsidRDefault="00AB6B5A" w:rsidP="00AB6B5A">
      <w:pPr>
        <w:autoSpaceDE w:val="0"/>
        <w:autoSpaceDN w:val="0"/>
        <w:adjustRightInd w:val="0"/>
        <w:rPr>
          <w:rFonts w:cs="Times New Roman"/>
        </w:rPr>
      </w:pPr>
      <w:r w:rsidRPr="00AB6B5A">
        <w:rPr>
          <w:rFonts w:cs="Times New Roman"/>
        </w:rPr>
        <w:t xml:space="preserve">Five years </w:t>
      </w:r>
      <w:proofErr w:type="gramStart"/>
      <w:r w:rsidRPr="00AB6B5A">
        <w:rPr>
          <w:rFonts w:cs="Times New Roman"/>
        </w:rPr>
        <w:t>ago</w:t>
      </w:r>
      <w:proofErr w:type="gramEnd"/>
      <w:r w:rsidRPr="00AB6B5A">
        <w:rPr>
          <w:rFonts w:cs="Times New Roman"/>
        </w:rPr>
        <w:t xml:space="preserve"> the </w:t>
      </w:r>
      <w:r>
        <w:rPr>
          <w:rFonts w:cs="Times New Roman"/>
        </w:rPr>
        <w:t xml:space="preserve">Carnegie UK Trust published The </w:t>
      </w:r>
      <w:r w:rsidRPr="00AB6B5A">
        <w:rPr>
          <w:rFonts w:cs="Times New Roman"/>
        </w:rPr>
        <w:t xml:space="preserve">Rise of the Enabling </w:t>
      </w:r>
      <w:r>
        <w:rPr>
          <w:rFonts w:cs="Times New Roman"/>
        </w:rPr>
        <w:t xml:space="preserve">State (Wallace, 2013). A review </w:t>
      </w:r>
      <w:r w:rsidRPr="00AB6B5A">
        <w:rPr>
          <w:rFonts w:cs="Times New Roman"/>
        </w:rPr>
        <w:t>of over 180 policy so</w:t>
      </w:r>
      <w:r>
        <w:rPr>
          <w:rFonts w:cs="Times New Roman"/>
        </w:rPr>
        <w:t xml:space="preserve">urces, The Rise of the Enabling </w:t>
      </w:r>
      <w:r w:rsidRPr="00AB6B5A">
        <w:rPr>
          <w:rFonts w:cs="Times New Roman"/>
        </w:rPr>
        <w:t>State identified sev</w:t>
      </w:r>
      <w:r>
        <w:rPr>
          <w:rFonts w:cs="Times New Roman"/>
        </w:rPr>
        <w:t xml:space="preserve">en interconnected policy shifts </w:t>
      </w:r>
      <w:r w:rsidRPr="00AB6B5A">
        <w:rPr>
          <w:rFonts w:cs="Times New Roman"/>
        </w:rPr>
        <w:t>evident across the UK</w:t>
      </w:r>
      <w:r>
        <w:rPr>
          <w:rFonts w:cs="Times New Roman"/>
        </w:rPr>
        <w:t xml:space="preserve"> (see Figure 1). Together these </w:t>
      </w:r>
      <w:r w:rsidRPr="00AB6B5A">
        <w:rPr>
          <w:rFonts w:cs="Times New Roman"/>
        </w:rPr>
        <w:t>broad shifts constitute</w:t>
      </w:r>
      <w:r>
        <w:rPr>
          <w:rFonts w:cs="Times New Roman"/>
        </w:rPr>
        <w:t xml:space="preserve"> the shift from the traditional </w:t>
      </w:r>
      <w:r w:rsidRPr="00AB6B5A">
        <w:rPr>
          <w:rFonts w:cs="Times New Roman"/>
        </w:rPr>
        <w:t>Welfare State to t</w:t>
      </w:r>
      <w:r>
        <w:rPr>
          <w:rFonts w:cs="Times New Roman"/>
        </w:rPr>
        <w:t xml:space="preserve">he Enabling State: a state that </w:t>
      </w:r>
      <w:r w:rsidRPr="00AB6B5A">
        <w:rPr>
          <w:rFonts w:cs="Times New Roman"/>
        </w:rPr>
        <w:t>seeks to take</w:t>
      </w:r>
      <w:r>
        <w:rPr>
          <w:rFonts w:cs="Times New Roman"/>
        </w:rPr>
        <w:t xml:space="preserve"> a whole of government approach </w:t>
      </w:r>
      <w:r w:rsidRPr="00AB6B5A">
        <w:rPr>
          <w:rFonts w:cs="Times New Roman"/>
        </w:rPr>
        <w:t>and to empower individuals and communities and</w:t>
      </w:r>
    </w:p>
    <w:p w:rsidR="00680CF6" w:rsidRDefault="00AB6B5A" w:rsidP="00AB6B5A">
      <w:pPr>
        <w:autoSpaceDE w:val="0"/>
        <w:autoSpaceDN w:val="0"/>
        <w:adjustRightInd w:val="0"/>
        <w:rPr>
          <w:rFonts w:cs="Times New Roman"/>
        </w:rPr>
      </w:pPr>
      <w:r w:rsidRPr="00AB6B5A">
        <w:rPr>
          <w:rFonts w:cs="Times New Roman"/>
        </w:rPr>
        <w:t>Table 1 provides a description of what these shifts</w:t>
      </w:r>
      <w:r>
        <w:rPr>
          <w:rFonts w:cs="Times New Roman"/>
        </w:rPr>
        <w:t xml:space="preserve"> </w:t>
      </w:r>
      <w:r w:rsidRPr="00AB6B5A">
        <w:rPr>
          <w:rFonts w:cs="Times New Roman"/>
        </w:rPr>
        <w:t xml:space="preserve">entail. These shifts </w:t>
      </w:r>
      <w:r>
        <w:rPr>
          <w:rFonts w:cs="Times New Roman"/>
        </w:rPr>
        <w:t xml:space="preserve">are complex, interdependent and </w:t>
      </w:r>
      <w:r w:rsidRPr="00AB6B5A">
        <w:rPr>
          <w:rFonts w:cs="Times New Roman"/>
        </w:rPr>
        <w:t>far from risk free.</w:t>
      </w:r>
    </w:p>
    <w:p w:rsidR="00AB6B5A" w:rsidRDefault="00AB6B5A" w:rsidP="00AB6B5A">
      <w:pPr>
        <w:autoSpaceDE w:val="0"/>
        <w:autoSpaceDN w:val="0"/>
        <w:adjustRightInd w:val="0"/>
        <w:rPr>
          <w:rFonts w:cs="Times New Roman"/>
        </w:rPr>
      </w:pPr>
    </w:p>
    <w:p w:rsidR="00AB6B5A" w:rsidRDefault="00AB6B5A" w:rsidP="00AB6B5A">
      <w:pPr>
        <w:autoSpaceDE w:val="0"/>
        <w:autoSpaceDN w:val="0"/>
        <w:adjustRightInd w:val="0"/>
        <w:rPr>
          <w:rFonts w:cs="Times New Roman"/>
        </w:rPr>
      </w:pPr>
      <w:r w:rsidRPr="00AB6B5A">
        <w:rPr>
          <w:rFonts w:cs="Times New Roman"/>
          <w:noProof/>
          <w:lang w:eastAsia="en-AU"/>
        </w:rPr>
        <w:drawing>
          <wp:inline distT="0" distB="0" distL="0" distR="0">
            <wp:extent cx="4135120" cy="21634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4135120" cy="2163445"/>
                    </a:xfrm>
                    <a:prstGeom prst="rect">
                      <a:avLst/>
                    </a:prstGeom>
                    <a:noFill/>
                    <a:ln>
                      <a:noFill/>
                    </a:ln>
                  </pic:spPr>
                </pic:pic>
              </a:graphicData>
            </a:graphic>
          </wp:inline>
        </w:drawing>
      </w:r>
    </w:p>
    <w:p w:rsidR="00AB6B5A" w:rsidRDefault="00AB6B5A" w:rsidP="00AB6B5A">
      <w:pPr>
        <w:autoSpaceDE w:val="0"/>
        <w:autoSpaceDN w:val="0"/>
        <w:adjustRightInd w:val="0"/>
        <w:rPr>
          <w:rFonts w:cs="Times New Roman"/>
        </w:rPr>
      </w:pPr>
    </w:p>
    <w:p w:rsidR="00AB6B5A" w:rsidRPr="00AB6B5A" w:rsidRDefault="00AB6B5A" w:rsidP="00AB6B5A">
      <w:pPr>
        <w:autoSpaceDE w:val="0"/>
        <w:autoSpaceDN w:val="0"/>
        <w:adjustRightInd w:val="0"/>
        <w:rPr>
          <w:rFonts w:cs="Times New Roman"/>
        </w:rPr>
      </w:pPr>
    </w:p>
    <w:p w:rsidR="00680CF6" w:rsidRDefault="00680CF6" w:rsidP="00680CF6">
      <w:pPr>
        <w:jc w:val="center"/>
        <w:rPr>
          <w:rFonts w:ascii="Helvetica" w:hAnsi="Helvetica" w:cs="Helvetica"/>
          <w:sz w:val="18"/>
          <w:szCs w:val="18"/>
        </w:rPr>
      </w:pPr>
    </w:p>
    <w:p w:rsidR="00680CF6" w:rsidRPr="00CB131A" w:rsidRDefault="00680CF6" w:rsidP="00680CF6">
      <w:pPr>
        <w:jc w:val="center"/>
        <w:rPr>
          <w:rFonts w:eastAsia="Arial" w:cs="Times New Roman"/>
          <w:b/>
          <w:sz w:val="32"/>
          <w:szCs w:val="32"/>
        </w:rPr>
      </w:pPr>
      <w:r w:rsidRPr="00BB5D46">
        <w:rPr>
          <w:rFonts w:eastAsia="Arial" w:cs="Times New Roman"/>
          <w:b/>
          <w:sz w:val="32"/>
          <w:szCs w:val="32"/>
        </w:rPr>
        <w:t>Media news</w:t>
      </w:r>
    </w:p>
    <w:p w:rsidR="00680CF6" w:rsidRPr="00CB131A" w:rsidRDefault="00680CF6" w:rsidP="00680CF6">
      <w:pPr>
        <w:jc w:val="center"/>
        <w:rPr>
          <w:rFonts w:eastAsia="Arial" w:cs="Times New Roman"/>
          <w:i/>
        </w:rPr>
      </w:pPr>
      <w:r w:rsidRPr="00CB131A">
        <w:rPr>
          <w:rFonts w:eastAsia="Arial" w:cs="Times New Roman"/>
          <w:i/>
        </w:rPr>
        <w:t>Tanika Roberts [</w:t>
      </w:r>
      <w:hyperlink r:id="rId147" w:history="1">
        <w:r w:rsidRPr="00CB131A">
          <w:rPr>
            <w:rStyle w:val="Hyperlink"/>
            <w:rFonts w:eastAsia="Arial" w:cs="Times New Roman"/>
            <w:i/>
          </w:rPr>
          <w:t>trobe@deakin.edu.au</w:t>
        </w:r>
      </w:hyperlink>
      <w:r w:rsidRPr="00CB131A">
        <w:rPr>
          <w:rFonts w:eastAsia="Arial" w:cs="Times New Roman"/>
          <w:i/>
        </w:rPr>
        <w:t>]</w:t>
      </w:r>
    </w:p>
    <w:p w:rsidR="00680CF6" w:rsidRPr="00CB131A" w:rsidRDefault="00680CF6" w:rsidP="00680CF6">
      <w:pPr>
        <w:jc w:val="center"/>
        <w:rPr>
          <w:rFonts w:eastAsia="Arial" w:cs="Times New Roman"/>
          <w:i/>
        </w:rPr>
      </w:pPr>
      <w:r w:rsidRPr="00CB131A">
        <w:rPr>
          <w:rFonts w:eastAsia="Arial" w:cs="Times New Roman"/>
          <w:i/>
        </w:rPr>
        <w:t>Executive Volunteer, Bulletin Co-Editor– Media</w:t>
      </w:r>
    </w:p>
    <w:p w:rsidR="00680CF6" w:rsidRDefault="00680CF6" w:rsidP="00680CF6">
      <w:pPr>
        <w:rPr>
          <w:rFonts w:eastAsia="Arial" w:cs="Times New Roman"/>
          <w:sz w:val="28"/>
          <w:szCs w:val="28"/>
        </w:rPr>
      </w:pPr>
    </w:p>
    <w:p w:rsidR="002B293C" w:rsidRPr="002B293C" w:rsidRDefault="002B293C" w:rsidP="002B293C">
      <w:pPr>
        <w:jc w:val="center"/>
        <w:rPr>
          <w:rFonts w:eastAsia="Arial" w:cs="Times New Roman"/>
          <w:b/>
          <w:bCs/>
          <w:sz w:val="28"/>
          <w:szCs w:val="28"/>
        </w:rPr>
      </w:pPr>
      <w:r w:rsidRPr="002B293C">
        <w:rPr>
          <w:rFonts w:eastAsia="Arial" w:cs="Times New Roman"/>
          <w:b/>
          <w:sz w:val="28"/>
          <w:szCs w:val="28"/>
        </w:rPr>
        <w:t>Nations with strong women's rights likely to have better population health and faster growth</w:t>
      </w:r>
    </w:p>
    <w:p w:rsidR="002B293C" w:rsidRPr="002B293C" w:rsidRDefault="00DF3874" w:rsidP="002B293C">
      <w:pPr>
        <w:rPr>
          <w:rFonts w:eastAsia="Arial" w:cs="Times New Roman"/>
          <w:b/>
          <w:bCs/>
        </w:rPr>
      </w:pPr>
      <w:hyperlink r:id="rId148" w:history="1">
        <w:r w:rsidR="002B293C" w:rsidRPr="002B293C">
          <w:rPr>
            <w:rStyle w:val="Hyperlink"/>
            <w:rFonts w:eastAsia="Arial" w:cs="Times New Roman"/>
          </w:rPr>
          <w:t>https://www.sciencedaily.com/releases/2019/07/190719173557.htm</w:t>
        </w:r>
      </w:hyperlink>
    </w:p>
    <w:p w:rsidR="002B293C" w:rsidRPr="002B293C" w:rsidRDefault="002B293C" w:rsidP="002B293C">
      <w:pPr>
        <w:rPr>
          <w:rFonts w:eastAsia="Arial" w:cs="Times New Roman"/>
        </w:rPr>
      </w:pPr>
      <w:r w:rsidRPr="002B293C">
        <w:rPr>
          <w:rFonts w:eastAsia="Arial" w:cs="Times New Roman"/>
        </w:rPr>
        <w:t>BMJ July 19 2019</w:t>
      </w:r>
    </w:p>
    <w:p w:rsidR="002B293C" w:rsidRPr="002B293C" w:rsidRDefault="002B293C" w:rsidP="002B293C">
      <w:pPr>
        <w:rPr>
          <w:rFonts w:eastAsia="Arial" w:cs="Times New Roman"/>
        </w:rPr>
      </w:pPr>
      <w:r w:rsidRPr="002B293C">
        <w:rPr>
          <w:rFonts w:eastAsia="Arial" w:cs="Times New Roman"/>
        </w:rPr>
        <w:t>While many parts of the world have made good economic progress, women's rights have often been overlooked, say the researchers. This is despite many countries having signed the international bill of rights for women, formally known as The Convention on the Elimination of All Forms of Discrimination Against Women (CEDAW). Overall, countries with strong women's rights had better/improving health than those where women's rights were only moderately or poorly respected. These health indicators include disease prevention, such as vaccination, reproductive health, death rates and life expectancy.  </w:t>
      </w:r>
    </w:p>
    <w:p w:rsidR="00686464" w:rsidRPr="0062086B" w:rsidRDefault="00686464" w:rsidP="00521170">
      <w:pPr>
        <w:rPr>
          <w:rFonts w:eastAsia="Times New Roman" w:cs="Times New Roman"/>
          <w:lang w:eastAsia="en-AU"/>
        </w:rPr>
      </w:pPr>
    </w:p>
    <w:p w:rsidR="00680CF6" w:rsidRPr="00BB5D46" w:rsidRDefault="00680CF6" w:rsidP="00680CF6">
      <w:pPr>
        <w:jc w:val="center"/>
        <w:rPr>
          <w:rFonts w:eastAsia="Times New Roman" w:cs="Times New Roman"/>
          <w:b/>
          <w:sz w:val="32"/>
          <w:szCs w:val="32"/>
          <w:lang w:val="en-US"/>
        </w:rPr>
      </w:pPr>
      <w:r w:rsidRPr="00BB5D46">
        <w:rPr>
          <w:rFonts w:eastAsia="Times New Roman" w:cs="Times New Roman"/>
          <w:b/>
          <w:sz w:val="32"/>
          <w:szCs w:val="32"/>
          <w:lang w:val="en-US"/>
        </w:rPr>
        <w:lastRenderedPageBreak/>
        <w:t>Membership changes</w:t>
      </w:r>
    </w:p>
    <w:p w:rsidR="00686464" w:rsidRDefault="00686464" w:rsidP="00680CF6">
      <w:pPr>
        <w:jc w:val="center"/>
        <w:rPr>
          <w:rFonts w:eastAsia="Calibri" w:cs="Times New Roman"/>
          <w:szCs w:val="22"/>
        </w:rPr>
      </w:pPr>
      <w:r>
        <w:rPr>
          <w:rFonts w:eastAsia="Calibri" w:cs="Times New Roman"/>
          <w:szCs w:val="22"/>
        </w:rPr>
        <w:t>Sangeetha</w:t>
      </w:r>
      <w:r w:rsidRPr="00686464">
        <w:rPr>
          <w:rFonts w:eastAsia="Calibri" w:cs="Times New Roman"/>
          <w:szCs w:val="22"/>
        </w:rPr>
        <w:t xml:space="preserve"> </w:t>
      </w:r>
      <w:r>
        <w:rPr>
          <w:rFonts w:eastAsia="Calibri" w:cs="Times New Roman"/>
          <w:szCs w:val="22"/>
        </w:rPr>
        <w:t>Thomas</w:t>
      </w:r>
      <w:r w:rsidRPr="00686464">
        <w:rPr>
          <w:rFonts w:eastAsia="Calibri" w:cs="Times New Roman"/>
          <w:szCs w:val="22"/>
        </w:rPr>
        <w:t xml:space="preserve"> </w:t>
      </w:r>
      <w:r>
        <w:rPr>
          <w:rFonts w:eastAsia="Calibri" w:cs="Times New Roman"/>
          <w:szCs w:val="22"/>
        </w:rPr>
        <w:t>&lt;</w:t>
      </w:r>
      <w:hyperlink r:id="rId149" w:history="1">
        <w:r w:rsidRPr="00E22933">
          <w:rPr>
            <w:rStyle w:val="Hyperlink"/>
            <w:rFonts w:eastAsia="Calibri" w:cs="Times New Roman"/>
            <w:szCs w:val="22"/>
          </w:rPr>
          <w:t>thomassa@deakin.edu.au</w:t>
        </w:r>
      </w:hyperlink>
      <w:r>
        <w:rPr>
          <w:rFonts w:eastAsia="Calibri" w:cs="Times New Roman"/>
          <w:szCs w:val="22"/>
        </w:rPr>
        <w:t>&gt;</w:t>
      </w:r>
    </w:p>
    <w:p w:rsidR="00680CF6" w:rsidRPr="00BB5D46" w:rsidRDefault="00680CF6" w:rsidP="00680CF6">
      <w:pPr>
        <w:jc w:val="center"/>
        <w:rPr>
          <w:rFonts w:eastAsia="Calibri" w:cs="Times New Roman"/>
          <w:i/>
          <w:szCs w:val="22"/>
        </w:rPr>
      </w:pPr>
      <w:r w:rsidRPr="00BB5D46">
        <w:rPr>
          <w:rFonts w:eastAsia="Calibri" w:cs="Times New Roman"/>
          <w:i/>
          <w:szCs w:val="22"/>
        </w:rPr>
        <w:t>Membership Registrar</w:t>
      </w:r>
    </w:p>
    <w:p w:rsidR="00686464" w:rsidRDefault="00686464" w:rsidP="00680CF6">
      <w:pPr>
        <w:rPr>
          <w:rFonts w:eastAsia="Times New Roman" w:cs="Times New Roman"/>
          <w:b/>
          <w:sz w:val="32"/>
          <w:szCs w:val="32"/>
          <w:lang w:val="en-US"/>
        </w:rPr>
      </w:pPr>
    </w:p>
    <w:p w:rsidR="00680CF6" w:rsidRPr="00BB5D46" w:rsidRDefault="00680CF6" w:rsidP="00680CF6">
      <w:pPr>
        <w:rPr>
          <w:rFonts w:eastAsia="Calibri" w:cs="Times New Roman"/>
          <w:i/>
          <w:szCs w:val="22"/>
        </w:rPr>
      </w:pPr>
      <w:r w:rsidRPr="00BB5D46">
        <w:rPr>
          <w:rFonts w:eastAsia="Times New Roman" w:cs="Times New Roman"/>
          <w:b/>
          <w:sz w:val="32"/>
          <w:szCs w:val="32"/>
          <w:lang w:val="en-US"/>
        </w:rPr>
        <w:t>Welcome to new members</w:t>
      </w:r>
    </w:p>
    <w:p w:rsidR="00686464" w:rsidRPr="00F576EE" w:rsidRDefault="00DF3874" w:rsidP="00686464">
      <w:hyperlink r:id="rId150" w:history="1">
        <w:r w:rsidR="00686464" w:rsidRPr="00F576EE">
          <w:rPr>
            <w:rStyle w:val="Hyperlink"/>
          </w:rPr>
          <w:t>Professor Wenjie Duan</w:t>
        </w:r>
      </w:hyperlink>
    </w:p>
    <w:p w:rsidR="00686464" w:rsidRPr="00F576EE" w:rsidRDefault="00686464" w:rsidP="00686464">
      <w:r w:rsidRPr="00F576EE">
        <w:t>Professor of Social Work, East China University of Science and Technology</w:t>
      </w:r>
    </w:p>
    <w:p w:rsidR="00686464" w:rsidRDefault="00686464" w:rsidP="00686464">
      <w:r w:rsidRPr="00F576EE">
        <w:rPr>
          <w:b/>
          <w:bCs/>
        </w:rPr>
        <w:t>Keywords:</w:t>
      </w:r>
      <w:r w:rsidRPr="00F576EE">
        <w:t xml:space="preserve"> Health-related </w:t>
      </w:r>
      <w:proofErr w:type="spellStart"/>
      <w:r w:rsidRPr="00F576EE">
        <w:t>QoL</w:t>
      </w:r>
      <w:proofErr w:type="spellEnd"/>
      <w:r w:rsidRPr="00F576EE">
        <w:t>; well-being; happiness; social indicator; psychometrics</w:t>
      </w:r>
    </w:p>
    <w:p w:rsidR="00686464" w:rsidRPr="00F576EE" w:rsidRDefault="00686464" w:rsidP="00686464"/>
    <w:p w:rsidR="00686464" w:rsidRPr="00F576EE" w:rsidRDefault="00DF3874" w:rsidP="00686464">
      <w:hyperlink r:id="rId151" w:history="1">
        <w:proofErr w:type="spellStart"/>
        <w:r w:rsidR="00686464" w:rsidRPr="00F576EE">
          <w:rPr>
            <w:rStyle w:val="Hyperlink"/>
          </w:rPr>
          <w:t>Prof.</w:t>
        </w:r>
        <w:proofErr w:type="spellEnd"/>
        <w:r w:rsidR="00686464" w:rsidRPr="00F576EE">
          <w:rPr>
            <w:rStyle w:val="Hyperlink"/>
          </w:rPr>
          <w:t xml:space="preserve"> dr. Johan Graafland</w:t>
        </w:r>
      </w:hyperlink>
    </w:p>
    <w:p w:rsidR="00686464" w:rsidRPr="00F576EE" w:rsidRDefault="00686464" w:rsidP="00686464">
      <w:r w:rsidRPr="00F576EE">
        <w:t>Full professor in Economics, Business and Ethics, Tilburg University</w:t>
      </w:r>
    </w:p>
    <w:p w:rsidR="00686464" w:rsidRDefault="00686464" w:rsidP="00686464">
      <w:r w:rsidRPr="00F576EE">
        <w:rPr>
          <w:b/>
          <w:bCs/>
        </w:rPr>
        <w:t>Keywords:</w:t>
      </w:r>
      <w:r w:rsidRPr="00F576EE">
        <w:t xml:space="preserve"> Economic freedom, virtues, human flourishing, life satisfaction, corporate social responsibility, sustainability</w:t>
      </w:r>
    </w:p>
    <w:p w:rsidR="00686464" w:rsidRPr="00F576EE" w:rsidRDefault="00686464" w:rsidP="00686464"/>
    <w:p w:rsidR="00686464" w:rsidRPr="00F576EE" w:rsidRDefault="00DF3874" w:rsidP="00686464">
      <w:hyperlink r:id="rId152" w:history="1">
        <w:r w:rsidR="00686464" w:rsidRPr="00F576EE">
          <w:rPr>
            <w:rStyle w:val="Hyperlink"/>
          </w:rPr>
          <w:t>Ms Michelle Carlyle</w:t>
        </w:r>
      </w:hyperlink>
    </w:p>
    <w:p w:rsidR="00686464" w:rsidRPr="00F576EE" w:rsidRDefault="00686464" w:rsidP="00686464">
      <w:r w:rsidRPr="00F576EE">
        <w:t xml:space="preserve">General Manager, Business Development &amp;amp; Innovation, </w:t>
      </w:r>
      <w:proofErr w:type="spellStart"/>
      <w:r w:rsidRPr="00F576EE">
        <w:t>Unisson</w:t>
      </w:r>
      <w:proofErr w:type="spellEnd"/>
      <w:r w:rsidRPr="00F576EE">
        <w:t xml:space="preserve"> Disability</w:t>
      </w:r>
    </w:p>
    <w:p w:rsidR="00686464" w:rsidRDefault="00686464" w:rsidP="00686464">
      <w:r w:rsidRPr="00F576EE">
        <w:rPr>
          <w:b/>
          <w:bCs/>
        </w:rPr>
        <w:t>Keywords:</w:t>
      </w:r>
      <w:r w:rsidRPr="00F576EE">
        <w:t xml:space="preserve"> Personal wellbeing for people with intellectual disability</w:t>
      </w:r>
    </w:p>
    <w:p w:rsidR="00686464" w:rsidRPr="00F576EE" w:rsidRDefault="00686464" w:rsidP="00686464"/>
    <w:p w:rsidR="00686464" w:rsidRPr="00F576EE" w:rsidRDefault="00DF3874" w:rsidP="00686464">
      <w:hyperlink r:id="rId153" w:history="1">
        <w:r w:rsidR="00686464" w:rsidRPr="00F576EE">
          <w:rPr>
            <w:rStyle w:val="Hyperlink"/>
          </w:rPr>
          <w:t>Professor Miroslav Verbi</w:t>
        </w:r>
        <w:r w:rsidR="00686464">
          <w:rPr>
            <w:rStyle w:val="Hyperlink"/>
          </w:rPr>
          <w:t>c</w:t>
        </w:r>
      </w:hyperlink>
    </w:p>
    <w:p w:rsidR="00686464" w:rsidRPr="00F576EE" w:rsidRDefault="00686464" w:rsidP="00686464">
      <w:r w:rsidRPr="00F576EE">
        <w:t>Full Professor, University of Ljubljana</w:t>
      </w:r>
    </w:p>
    <w:p w:rsidR="00686464" w:rsidRDefault="00686464" w:rsidP="00686464">
      <w:r w:rsidRPr="00F576EE">
        <w:rPr>
          <w:b/>
          <w:bCs/>
        </w:rPr>
        <w:t>Keywords:</w:t>
      </w:r>
      <w:r w:rsidRPr="00F576EE">
        <w:t xml:space="preserve"> subjective well-being, elderly, income and wealth, consumption, methodology</w:t>
      </w:r>
    </w:p>
    <w:p w:rsidR="00686464" w:rsidRPr="00F576EE" w:rsidRDefault="00686464" w:rsidP="00686464"/>
    <w:p w:rsidR="00686464" w:rsidRPr="00F576EE" w:rsidRDefault="00DF3874" w:rsidP="00686464">
      <w:hyperlink r:id="rId154" w:history="1">
        <w:r w:rsidR="002B293C">
          <w:rPr>
            <w:rStyle w:val="Hyperlink"/>
          </w:rPr>
          <w:t>Professor</w:t>
        </w:r>
        <w:r w:rsidR="00686464" w:rsidRPr="00F576EE">
          <w:rPr>
            <w:rStyle w:val="Hyperlink"/>
          </w:rPr>
          <w:t xml:space="preserve"> Joar Vitterso</w:t>
        </w:r>
      </w:hyperlink>
    </w:p>
    <w:p w:rsidR="00686464" w:rsidRPr="00F576EE" w:rsidRDefault="00686464" w:rsidP="00686464">
      <w:proofErr w:type="spellStart"/>
      <w:r w:rsidRPr="00F576EE">
        <w:t>Profesor</w:t>
      </w:r>
      <w:proofErr w:type="spellEnd"/>
      <w:r w:rsidRPr="00F576EE">
        <w:t xml:space="preserve">, University of </w:t>
      </w:r>
      <w:proofErr w:type="spellStart"/>
      <w:r w:rsidRPr="00F576EE">
        <w:t>Tromso</w:t>
      </w:r>
      <w:proofErr w:type="spellEnd"/>
      <w:r w:rsidRPr="00F576EE">
        <w:t>, Norway</w:t>
      </w:r>
    </w:p>
    <w:p w:rsidR="00686464" w:rsidRDefault="00686464" w:rsidP="00686464">
      <w:r w:rsidRPr="00F576EE">
        <w:rPr>
          <w:b/>
          <w:bCs/>
        </w:rPr>
        <w:t>Keywords:</w:t>
      </w:r>
      <w:r w:rsidRPr="00F576EE">
        <w:t xml:space="preserve"> hedonic wellbeing, </w:t>
      </w:r>
      <w:proofErr w:type="spellStart"/>
      <w:r w:rsidRPr="00F576EE">
        <w:t>eudaimonic</w:t>
      </w:r>
      <w:proofErr w:type="spellEnd"/>
      <w:r w:rsidRPr="00F576EE">
        <w:t xml:space="preserve"> wellbeing</w:t>
      </w:r>
    </w:p>
    <w:p w:rsidR="00686464" w:rsidRPr="00F576EE" w:rsidRDefault="00686464" w:rsidP="00686464"/>
    <w:p w:rsidR="00686464" w:rsidRPr="00F576EE" w:rsidRDefault="00DF3874" w:rsidP="00686464">
      <w:hyperlink r:id="rId155" w:history="1">
        <w:r w:rsidR="00686464" w:rsidRPr="00F576EE">
          <w:rPr>
            <w:rStyle w:val="Hyperlink"/>
          </w:rPr>
          <w:t>Mrs Sangeetha Thomas</w:t>
        </w:r>
      </w:hyperlink>
    </w:p>
    <w:p w:rsidR="00686464" w:rsidRPr="00F576EE" w:rsidRDefault="00686464" w:rsidP="00686464">
      <w:r w:rsidRPr="00F576EE">
        <w:t>PhD candidate, Deakin University</w:t>
      </w:r>
    </w:p>
    <w:p w:rsidR="00686464" w:rsidRPr="00F576EE" w:rsidRDefault="00686464" w:rsidP="00686464">
      <w:r w:rsidRPr="00F576EE">
        <w:rPr>
          <w:b/>
          <w:bCs/>
        </w:rPr>
        <w:t>Keywords:</w:t>
      </w:r>
      <w:r w:rsidRPr="00F576EE">
        <w:t xml:space="preserve"> Health related </w:t>
      </w:r>
      <w:proofErr w:type="spellStart"/>
      <w:r w:rsidRPr="00F576EE">
        <w:t>QoL</w:t>
      </w:r>
      <w:proofErr w:type="spellEnd"/>
    </w:p>
    <w:p w:rsidR="00680CF6" w:rsidRPr="00BB5D46" w:rsidRDefault="00680CF6" w:rsidP="00680CF6">
      <w:pPr>
        <w:rPr>
          <w:rFonts w:eastAsia="Calibri" w:cs="Times New Roman"/>
          <w:i/>
          <w:szCs w:val="22"/>
          <w:u w:val="single"/>
        </w:rPr>
      </w:pPr>
    </w:p>
    <w:p w:rsidR="00680CF6" w:rsidRDefault="00680CF6" w:rsidP="00680CF6">
      <w:pPr>
        <w:pStyle w:val="NormalWeb"/>
        <w:rPr>
          <w:rFonts w:ascii="Arial" w:hAnsi="Arial" w:cs="Arial"/>
          <w:b/>
          <w:color w:val="000000"/>
          <w:sz w:val="20"/>
          <w:szCs w:val="20"/>
        </w:rPr>
      </w:pPr>
      <w:r>
        <w:rPr>
          <w:rFonts w:ascii="Arial" w:hAnsi="Arial" w:cs="Arial"/>
          <w:b/>
          <w:color w:val="000000"/>
          <w:sz w:val="20"/>
          <w:szCs w:val="20"/>
        </w:rPr>
        <w:t>-----------------------</w:t>
      </w:r>
    </w:p>
    <w:p w:rsidR="00680CF6" w:rsidRPr="002C296F" w:rsidRDefault="00680CF6" w:rsidP="00680CF6">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3B1106" w:rsidRPr="00FC11C1" w:rsidRDefault="003B1106" w:rsidP="003B1106">
      <w:pPr>
        <w:pStyle w:val="EndNoteBibliography"/>
        <w:ind w:left="720" w:hanging="720"/>
      </w:pPr>
      <w:r w:rsidRPr="00FC11C1">
        <w:t xml:space="preserve">Baker, F., &amp; Intagliata, J. (1982). Quality of life in the evaluation of community support systems. </w:t>
      </w:r>
      <w:r w:rsidRPr="00FC11C1">
        <w:rPr>
          <w:i/>
        </w:rPr>
        <w:t>Evaluation and Program Planning, 5</w:t>
      </w:r>
      <w:r w:rsidRPr="00FC11C1">
        <w:t xml:space="preserve">, 69-19. </w:t>
      </w:r>
    </w:p>
    <w:p w:rsidR="003B1106" w:rsidRPr="00FC11C1" w:rsidRDefault="003B1106" w:rsidP="003B1106">
      <w:pPr>
        <w:pStyle w:val="EndNoteBibliography"/>
        <w:ind w:left="720" w:hanging="720"/>
      </w:pPr>
      <w:r w:rsidRPr="00FC11C1">
        <w:t xml:space="preserve">Bloom, A. (1981). </w:t>
      </w:r>
      <w:r w:rsidRPr="00FC11C1">
        <w:rPr>
          <w:i/>
        </w:rPr>
        <w:t>The linguistic shaping of thought</w:t>
      </w:r>
      <w:r w:rsidRPr="00FC11C1">
        <w:t>. Hillsdale, NJ: Earlbaum.</w:t>
      </w:r>
    </w:p>
    <w:p w:rsidR="003B1106" w:rsidRPr="00FC11C1" w:rsidRDefault="003B1106" w:rsidP="003B1106">
      <w:pPr>
        <w:pStyle w:val="EndNoteBibliography"/>
        <w:ind w:left="720" w:hanging="720"/>
      </w:pPr>
      <w:r w:rsidRPr="00FC11C1">
        <w:t xml:space="preserve">Davern, M., Cummins, R. A., &amp; Stokes, M. (2007). Subjective wellbeing as an affective/cognitive construct. </w:t>
      </w:r>
      <w:r w:rsidRPr="00FC11C1">
        <w:rPr>
          <w:i/>
        </w:rPr>
        <w:t>Journal of Happiness Studies, 8</w:t>
      </w:r>
      <w:r w:rsidRPr="00FC11C1">
        <w:t>(4), 429-449. doi:10.1007/s10902-007-9066-1</w:t>
      </w:r>
    </w:p>
    <w:p w:rsidR="003B1106" w:rsidRPr="00FC11C1" w:rsidRDefault="003B1106" w:rsidP="003B1106">
      <w:pPr>
        <w:pStyle w:val="EndNoteBibliography"/>
        <w:ind w:left="720" w:hanging="720"/>
      </w:pPr>
      <w:r w:rsidRPr="00FC11C1">
        <w:t xml:space="preserve">Diener, E., Emmons, R. A., Larsen, R. J., &amp; Griffin, S. (1985). The satisfaction with life scale. </w:t>
      </w:r>
      <w:r w:rsidRPr="00FC11C1">
        <w:rPr>
          <w:i/>
        </w:rPr>
        <w:t>Journal of Personality Assessment, 49</w:t>
      </w:r>
      <w:r w:rsidRPr="00FC11C1">
        <w:t xml:space="preserve">, 71-75. </w:t>
      </w:r>
    </w:p>
    <w:p w:rsidR="003B1106" w:rsidRPr="00FC11C1" w:rsidRDefault="003B1106" w:rsidP="003B1106">
      <w:pPr>
        <w:pStyle w:val="EndNoteBibliography"/>
        <w:ind w:left="720" w:hanging="720"/>
      </w:pPr>
      <w:r w:rsidRPr="00FC11C1">
        <w:t xml:space="preserve">Heine, S. J., Lehman, D. R., Markus, H. R., &amp; Kitayama, S. (1999). Is there a universal need for positive self-regard? </w:t>
      </w:r>
      <w:r w:rsidRPr="00FC11C1">
        <w:rPr>
          <w:i/>
        </w:rPr>
        <w:t>Psychological Review, 106</w:t>
      </w:r>
      <w:r w:rsidRPr="00FC11C1">
        <w:t xml:space="preserve">(4), 766-794. </w:t>
      </w:r>
    </w:p>
    <w:p w:rsidR="003B1106" w:rsidRPr="00FC11C1" w:rsidRDefault="003B1106" w:rsidP="003B1106">
      <w:pPr>
        <w:pStyle w:val="EndNoteBibliography"/>
        <w:ind w:left="720" w:hanging="720"/>
      </w:pPr>
      <w:r w:rsidRPr="00FC11C1">
        <w:t xml:space="preserve">Ioannidis, J. P. A. (2016). The mass production of redundant, misleading, and conflicted systematic reviews and meta‐analyses. </w:t>
      </w:r>
      <w:r w:rsidRPr="00FC11C1">
        <w:rPr>
          <w:i/>
        </w:rPr>
        <w:t>The Milbank Quarterly, 94</w:t>
      </w:r>
      <w:r w:rsidRPr="00FC11C1">
        <w:t xml:space="preserve">(3), 485-514. </w:t>
      </w:r>
    </w:p>
    <w:p w:rsidR="003B1106" w:rsidRPr="00FC11C1" w:rsidRDefault="003B1106" w:rsidP="003B1106">
      <w:pPr>
        <w:pStyle w:val="EndNoteBibliography"/>
        <w:ind w:left="720" w:hanging="720"/>
      </w:pPr>
      <w:r w:rsidRPr="00FC11C1">
        <w:t xml:space="preserve">Markus, H. R., &amp; Kitayama, S. (1991). Culture and the self: Implications for cognition, emotion, and motivation. </w:t>
      </w:r>
      <w:r w:rsidRPr="00FC11C1">
        <w:rPr>
          <w:i/>
        </w:rPr>
        <w:t>Psychological Review, 98</w:t>
      </w:r>
      <w:r w:rsidRPr="00FC11C1">
        <w:t xml:space="preserve">(2), 224-253. </w:t>
      </w:r>
    </w:p>
    <w:p w:rsidR="003B1106" w:rsidRPr="00FC11C1" w:rsidRDefault="003B1106" w:rsidP="003B1106">
      <w:pPr>
        <w:pStyle w:val="EndNoteBibliography"/>
        <w:ind w:left="720" w:hanging="720"/>
      </w:pPr>
      <w:r w:rsidRPr="00FC11C1">
        <w:t xml:space="preserve">Moher, D., Liberati, A., Tetzlaff, J., &amp; Altman, D. G. (2009). Preferred reporting items for systematic reviews and meta-analyses: the PRISMA statement. </w:t>
      </w:r>
      <w:r w:rsidRPr="00FC11C1">
        <w:rPr>
          <w:i/>
        </w:rPr>
        <w:t>Annals of Internal Medicine, 151</w:t>
      </w:r>
      <w:r w:rsidRPr="00FC11C1">
        <w:t xml:space="preserve">(4), 264-269. </w:t>
      </w:r>
    </w:p>
    <w:p w:rsidR="003B1106" w:rsidRPr="00FC11C1" w:rsidRDefault="003B1106" w:rsidP="003B1106">
      <w:pPr>
        <w:pStyle w:val="EndNoteBibliography"/>
        <w:ind w:left="720" w:hanging="720"/>
      </w:pPr>
      <w:r w:rsidRPr="00FC11C1">
        <w:lastRenderedPageBreak/>
        <w:t xml:space="preserve">Oishi, S. (2006). The concept of life satisfaction across cultures: An IRT analysis. </w:t>
      </w:r>
      <w:r w:rsidRPr="00FC11C1">
        <w:rPr>
          <w:i/>
        </w:rPr>
        <w:t>Journal of Research in Personality, 40</w:t>
      </w:r>
      <w:r w:rsidRPr="00FC11C1">
        <w:t xml:space="preserve">(4), 411-423. </w:t>
      </w:r>
    </w:p>
    <w:p w:rsidR="003B1106" w:rsidRPr="00FC11C1" w:rsidRDefault="003B1106" w:rsidP="003B1106">
      <w:pPr>
        <w:pStyle w:val="EndNoteBibliography"/>
        <w:ind w:left="720" w:hanging="720"/>
      </w:pPr>
      <w:r w:rsidRPr="00FC11C1">
        <w:t xml:space="preserve">Oishi, S. (2007). The application of structural equation modeling and item response theory to cross-cultural positive psychology research. In A. D. Ong &amp; M. v. Dulmen (Eds.), </w:t>
      </w:r>
      <w:r w:rsidRPr="00FC11C1">
        <w:rPr>
          <w:i/>
        </w:rPr>
        <w:t>Handbook of methods in positive psychology</w:t>
      </w:r>
      <w:r w:rsidRPr="00FC11C1">
        <w:t xml:space="preserve"> (pp. 126-138). New York: Oxford University Press.</w:t>
      </w:r>
    </w:p>
    <w:p w:rsidR="003B1106" w:rsidRDefault="003B1106" w:rsidP="003B1106">
      <w:pPr>
        <w:rPr>
          <w:noProof/>
        </w:rPr>
      </w:pPr>
      <w:r w:rsidRPr="00FC11C1">
        <w:rPr>
          <w:noProof/>
        </w:rPr>
        <w:t xml:space="preserve">Trostrup, C. H., Christiansen, A. B., Stølen, K. S., Nielsen, P. K., &amp; Stelter, R. (2019). The </w:t>
      </w:r>
    </w:p>
    <w:p w:rsidR="00680CF6" w:rsidRDefault="003B1106" w:rsidP="003B1106">
      <w:pPr>
        <w:ind w:left="720"/>
        <w:rPr>
          <w:noProof/>
        </w:rPr>
      </w:pPr>
      <w:r w:rsidRPr="00FC11C1">
        <w:rPr>
          <w:noProof/>
        </w:rPr>
        <w:t xml:space="preserve">effect of nature exposure on the mental health of patients: a systematic review. </w:t>
      </w:r>
      <w:r w:rsidRPr="00FC11C1">
        <w:rPr>
          <w:i/>
          <w:noProof/>
        </w:rPr>
        <w:t>Quality of Life Research, 28</w:t>
      </w:r>
      <w:r w:rsidRPr="00FC11C1">
        <w:rPr>
          <w:noProof/>
        </w:rPr>
        <w:t>, 1695–1703.</w:t>
      </w:r>
    </w:p>
    <w:p w:rsidR="003B1106" w:rsidRDefault="003B1106" w:rsidP="003B1106">
      <w:pPr>
        <w:ind w:left="720"/>
        <w:rPr>
          <w:rFonts w:eastAsia="Arial" w:cs="Times New Roman"/>
          <w:b/>
          <w:sz w:val="28"/>
          <w:szCs w:val="28"/>
        </w:rPr>
      </w:pPr>
    </w:p>
    <w:p w:rsidR="0006399A" w:rsidRPr="00BB5D46" w:rsidRDefault="0006399A" w:rsidP="0006399A">
      <w:pPr>
        <w:rPr>
          <w:rFonts w:eastAsia="Arial" w:cs="Times New Roman"/>
          <w:b/>
          <w:sz w:val="28"/>
          <w:szCs w:val="28"/>
        </w:rPr>
      </w:pPr>
      <w:proofErr w:type="spellStart"/>
      <w:r w:rsidRPr="009548EC">
        <w:rPr>
          <w:rFonts w:eastAsia="Arial" w:cs="Times New Roman"/>
          <w:b/>
          <w:sz w:val="28"/>
          <w:szCs w:val="28"/>
          <w:highlight w:val="green"/>
        </w:rPr>
        <w:t>ACQol</w:t>
      </w:r>
      <w:proofErr w:type="spellEnd"/>
      <w:r w:rsidRPr="009548EC">
        <w:rPr>
          <w:rFonts w:eastAsia="Arial" w:cs="Times New Roman"/>
          <w:b/>
          <w:sz w:val="28"/>
          <w:szCs w:val="28"/>
          <w:highlight w:val="green"/>
        </w:rPr>
        <w:t xml:space="preserve"> Bulletin Vol 3/</w:t>
      </w:r>
      <w:r w:rsidR="00680CF6" w:rsidRPr="009548EC">
        <w:rPr>
          <w:rFonts w:eastAsia="Arial" w:cs="Times New Roman"/>
          <w:b/>
          <w:sz w:val="28"/>
          <w:szCs w:val="28"/>
          <w:highlight w:val="green"/>
        </w:rPr>
        <w:t>33</w:t>
      </w:r>
      <w:r w:rsidRPr="009548EC">
        <w:rPr>
          <w:rFonts w:eastAsia="Arial" w:cs="Times New Roman"/>
          <w:b/>
          <w:sz w:val="28"/>
          <w:szCs w:val="28"/>
          <w:highlight w:val="green"/>
        </w:rPr>
        <w:t xml:space="preserve">: </w:t>
      </w:r>
      <w:r w:rsidR="00680CF6" w:rsidRPr="009548EC">
        <w:rPr>
          <w:rFonts w:eastAsia="Arial" w:cs="Times New Roman"/>
          <w:b/>
          <w:sz w:val="28"/>
          <w:szCs w:val="28"/>
          <w:highlight w:val="green"/>
        </w:rPr>
        <w:t>150819</w:t>
      </w:r>
    </w:p>
    <w:p w:rsidR="0006399A" w:rsidRPr="00BB5D46" w:rsidRDefault="0006399A" w:rsidP="0006399A">
      <w:pPr>
        <w:rPr>
          <w:rFonts w:eastAsia="Arial" w:cs="Times New Roman"/>
          <w:b/>
          <w:sz w:val="28"/>
          <w:szCs w:val="28"/>
        </w:rPr>
      </w:pPr>
      <w:r w:rsidRPr="00BB5D46">
        <w:rPr>
          <w:rFonts w:eastAsia="Arial" w:cs="Times New Roman"/>
          <w:b/>
          <w:sz w:val="28"/>
          <w:szCs w:val="28"/>
        </w:rPr>
        <w:t>Bulletin of the Australian Centre on Quality of Life</w:t>
      </w:r>
    </w:p>
    <w:p w:rsidR="0006399A" w:rsidRPr="00BB5D46" w:rsidRDefault="00DF3874" w:rsidP="0006399A">
      <w:pPr>
        <w:rPr>
          <w:rFonts w:eastAsia="Arial" w:cs="Times New Roman"/>
        </w:rPr>
      </w:pPr>
      <w:hyperlink r:id="rId156" w:history="1">
        <w:r w:rsidR="0006399A" w:rsidRPr="00BB5D46">
          <w:rPr>
            <w:rFonts w:eastAsia="Arial" w:cs="Times New Roman"/>
            <w:color w:val="0563C1"/>
            <w:u w:val="single"/>
          </w:rPr>
          <w:t>http://www.acqol.com.au/</w:t>
        </w:r>
      </w:hyperlink>
    </w:p>
    <w:p w:rsidR="0006399A" w:rsidRPr="00AE19B8" w:rsidRDefault="0006399A" w:rsidP="0006399A">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06399A" w:rsidRPr="00BB5D46" w:rsidRDefault="0006399A" w:rsidP="0006399A">
      <w:pPr>
        <w:rPr>
          <w:rFonts w:eastAsia="Arial" w:cs="Times New Roman"/>
          <w:b/>
        </w:rPr>
      </w:pPr>
      <w:r w:rsidRPr="00BB5D46">
        <w:rPr>
          <w:rFonts w:eastAsia="Arial" w:cs="Times New Roman"/>
          <w:b/>
        </w:rPr>
        <w:t xml:space="preserve">Back-issues of the Bulletin are available at </w:t>
      </w:r>
      <w:hyperlink r:id="rId157" w:anchor="bulletins" w:history="1">
        <w:r w:rsidRPr="00BB5D46">
          <w:rPr>
            <w:rFonts w:eastAsia="Arial" w:cs="Times New Roman"/>
            <w:color w:val="0563C1"/>
            <w:u w:val="single"/>
          </w:rPr>
          <w:t>http://www.acqol.com.au/projects#bulletins</w:t>
        </w:r>
      </w:hyperlink>
    </w:p>
    <w:p w:rsidR="0006399A" w:rsidRPr="00BB5D46" w:rsidRDefault="0006399A" w:rsidP="0006399A">
      <w:pPr>
        <w:rPr>
          <w:rFonts w:eastAsia="Arial" w:cs="Times New Roman"/>
          <w:color w:val="0563C1"/>
          <w:u w:val="single"/>
        </w:rPr>
      </w:pPr>
    </w:p>
    <w:p w:rsidR="0006399A" w:rsidRPr="00BB5D46" w:rsidRDefault="0006399A" w:rsidP="0006399A">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06399A" w:rsidRDefault="0006399A" w:rsidP="0006399A">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06399A" w:rsidRPr="00BB5D46" w:rsidRDefault="0006399A" w:rsidP="0006399A">
      <w:pPr>
        <w:rPr>
          <w:rFonts w:eastAsia="Arial" w:cs="Times New Roman"/>
        </w:rPr>
      </w:pPr>
    </w:p>
    <w:p w:rsidR="0006399A" w:rsidRPr="00BB5D46" w:rsidRDefault="0006399A" w:rsidP="0006399A">
      <w:pPr>
        <w:rPr>
          <w:rFonts w:eastAsia="Arial" w:cs="Times New Roman"/>
        </w:rPr>
      </w:pPr>
    </w:p>
    <w:p w:rsidR="00CD76BA" w:rsidRPr="00BB5D46" w:rsidRDefault="00CD76BA" w:rsidP="00CD76BA">
      <w:pPr>
        <w:jc w:val="center"/>
        <w:rPr>
          <w:rFonts w:eastAsia="Arial" w:cs="Times New Roman"/>
          <w:b/>
          <w:sz w:val="32"/>
          <w:szCs w:val="32"/>
        </w:rPr>
      </w:pPr>
      <w:r>
        <w:rPr>
          <w:rFonts w:eastAsia="Arial" w:cs="Times New Roman"/>
          <w:b/>
          <w:sz w:val="32"/>
          <w:szCs w:val="32"/>
        </w:rPr>
        <w:t>Comments, Observations, and Questions</w:t>
      </w:r>
    </w:p>
    <w:p w:rsidR="00FB5AD0" w:rsidRPr="00FB5AD0" w:rsidRDefault="00FB5AD0" w:rsidP="00FB5AD0">
      <w:pPr>
        <w:rPr>
          <w:rFonts w:eastAsia="Calibri" w:cs="Times New Roman"/>
          <w:i/>
          <w:color w:val="000000"/>
          <w:lang w:eastAsia="en-AU"/>
        </w:rPr>
      </w:pPr>
      <w:r w:rsidRPr="00FB5AD0">
        <w:rPr>
          <w:rFonts w:eastAsia="Calibri" w:cs="Times New Roman"/>
        </w:rPr>
        <w:t>Graeme Lindenmayer &lt;gretandlin@netscape.net&gt; asks “</w:t>
      </w:r>
      <w:r w:rsidRPr="00FB5AD0">
        <w:rPr>
          <w:rFonts w:eastAsia="Calibri" w:cs="Times New Roman"/>
          <w:i/>
          <w:color w:val="000000"/>
          <w:lang w:eastAsia="en-AU"/>
        </w:rPr>
        <w:t xml:space="preserve">I have often wondered how expectations and feelings of entitlement fit in [to subjective </w:t>
      </w:r>
      <w:proofErr w:type="spellStart"/>
      <w:proofErr w:type="gramStart"/>
      <w:r w:rsidRPr="00FB5AD0">
        <w:rPr>
          <w:rFonts w:eastAsia="Calibri" w:cs="Times New Roman"/>
          <w:i/>
          <w:color w:val="000000"/>
          <w:lang w:eastAsia="en-AU"/>
        </w:rPr>
        <w:t>wellbeing:SWB</w:t>
      </w:r>
      <w:proofErr w:type="spellEnd"/>
      <w:proofErr w:type="gramEnd"/>
      <w:r w:rsidRPr="00FB5AD0">
        <w:rPr>
          <w:rFonts w:eastAsia="Calibri" w:cs="Times New Roman"/>
          <w:i/>
          <w:color w:val="000000"/>
          <w:lang w:eastAsia="en-AU"/>
        </w:rPr>
        <w:t xml:space="preserve">]. There are immediate, short term and </w:t>
      </w:r>
      <w:proofErr w:type="gramStart"/>
      <w:r w:rsidRPr="00FB5AD0">
        <w:rPr>
          <w:rFonts w:eastAsia="Calibri" w:cs="Times New Roman"/>
          <w:i/>
          <w:color w:val="000000"/>
          <w:lang w:eastAsia="en-AU"/>
        </w:rPr>
        <w:t>long term</w:t>
      </w:r>
      <w:proofErr w:type="gramEnd"/>
      <w:r w:rsidRPr="00FB5AD0">
        <w:rPr>
          <w:rFonts w:eastAsia="Calibri" w:cs="Times New Roman"/>
          <w:i/>
          <w:color w:val="000000"/>
          <w:lang w:eastAsia="en-AU"/>
        </w:rPr>
        <w:t xml:space="preserve"> expectations. It would be interesting to find out how people acquire their expectations, and how they affect happiness.”</w:t>
      </w:r>
    </w:p>
    <w:p w:rsidR="00FB5AD0" w:rsidRPr="00FB5AD0" w:rsidRDefault="00FB5AD0" w:rsidP="00FB5AD0">
      <w:pPr>
        <w:rPr>
          <w:rFonts w:eastAsia="Calibri" w:cs="Times New Roman"/>
          <w:i/>
          <w:color w:val="000000"/>
          <w:lang w:eastAsia="en-AU"/>
        </w:rPr>
      </w:pPr>
    </w:p>
    <w:p w:rsidR="00FB5AD0" w:rsidRPr="00FB5AD0" w:rsidRDefault="00FB5AD0" w:rsidP="00FB5AD0">
      <w:pPr>
        <w:rPr>
          <w:rFonts w:eastAsia="Calibri" w:cs="Times New Roman"/>
          <w:color w:val="000000"/>
          <w:lang w:eastAsia="en-AU"/>
        </w:rPr>
      </w:pPr>
      <w:r w:rsidRPr="00FB5AD0">
        <w:rPr>
          <w:rFonts w:eastAsia="Calibri" w:cs="Times New Roman"/>
          <w:color w:val="000000"/>
          <w:lang w:eastAsia="en-AU"/>
        </w:rPr>
        <w:t>Cummins replies:</w:t>
      </w:r>
    </w:p>
    <w:p w:rsidR="0029675A" w:rsidRDefault="00FB5AD0" w:rsidP="00FB5AD0">
      <w:pPr>
        <w:rPr>
          <w:rFonts w:eastAsia="Calibri" w:cs="Times New Roman"/>
          <w:color w:val="000000"/>
          <w:lang w:eastAsia="en-AU"/>
        </w:rPr>
      </w:pPr>
      <w:r w:rsidRPr="00FB5AD0">
        <w:rPr>
          <w:rFonts w:eastAsia="Calibri" w:cs="Times New Roman"/>
          <w:color w:val="000000"/>
          <w:lang w:eastAsia="en-AU"/>
        </w:rPr>
        <w:t xml:space="preserve">These are interesting questions </w:t>
      </w:r>
      <w:r w:rsidR="008936E0">
        <w:rPr>
          <w:rFonts w:eastAsia="Calibri" w:cs="Times New Roman"/>
          <w:color w:val="000000"/>
          <w:lang w:eastAsia="en-AU"/>
        </w:rPr>
        <w:t>relating</w:t>
      </w:r>
      <w:r w:rsidR="004F4F51">
        <w:rPr>
          <w:rFonts w:eastAsia="Calibri" w:cs="Times New Roman"/>
          <w:color w:val="000000"/>
          <w:lang w:eastAsia="en-AU"/>
        </w:rPr>
        <w:t xml:space="preserve"> to</w:t>
      </w:r>
      <w:r w:rsidRPr="00FB5AD0">
        <w:rPr>
          <w:rFonts w:eastAsia="Calibri" w:cs="Times New Roman"/>
          <w:color w:val="000000"/>
          <w:lang w:eastAsia="en-AU"/>
        </w:rPr>
        <w:t xml:space="preserve"> the ‘gap’ theories of SWB. </w:t>
      </w:r>
      <w:r w:rsidR="00D4624B">
        <w:rPr>
          <w:rFonts w:eastAsia="Calibri" w:cs="Times New Roman"/>
          <w:color w:val="000000"/>
          <w:lang w:eastAsia="en-AU"/>
        </w:rPr>
        <w:t>These</w:t>
      </w:r>
      <w:r w:rsidR="004F4F51">
        <w:rPr>
          <w:rFonts w:eastAsia="Calibri" w:cs="Times New Roman"/>
          <w:color w:val="000000"/>
          <w:lang w:eastAsia="en-AU"/>
        </w:rPr>
        <w:t xml:space="preserve"> theories</w:t>
      </w:r>
      <w:r w:rsidR="00D4624B">
        <w:rPr>
          <w:rFonts w:eastAsia="Calibri" w:cs="Times New Roman"/>
          <w:color w:val="000000"/>
          <w:lang w:eastAsia="en-AU"/>
        </w:rPr>
        <w:t xml:space="preserve"> propose</w:t>
      </w:r>
      <w:r w:rsidRPr="00FB5AD0">
        <w:rPr>
          <w:rFonts w:eastAsia="Calibri" w:cs="Times New Roman"/>
          <w:color w:val="000000"/>
          <w:lang w:eastAsia="en-AU"/>
        </w:rPr>
        <w:t xml:space="preserve"> that </w:t>
      </w:r>
      <w:r w:rsidR="00AB309C">
        <w:rPr>
          <w:rFonts w:eastAsia="Calibri" w:cs="Times New Roman"/>
          <w:color w:val="000000"/>
          <w:lang w:eastAsia="en-AU"/>
        </w:rPr>
        <w:t xml:space="preserve">the level of </w:t>
      </w:r>
      <w:r w:rsidRPr="00FB5AD0">
        <w:rPr>
          <w:rFonts w:eastAsia="Calibri" w:cs="Times New Roman"/>
          <w:color w:val="000000"/>
          <w:lang w:eastAsia="en-AU"/>
        </w:rPr>
        <w:t>SWB is influenced by</w:t>
      </w:r>
      <w:r w:rsidR="003A38C4">
        <w:rPr>
          <w:rFonts w:eastAsia="Calibri" w:cs="Times New Roman"/>
          <w:color w:val="000000"/>
          <w:lang w:eastAsia="en-AU"/>
        </w:rPr>
        <w:t xml:space="preserve"> </w:t>
      </w:r>
      <w:r w:rsidR="0029675A">
        <w:rPr>
          <w:rFonts w:eastAsia="Calibri" w:cs="Times New Roman"/>
          <w:color w:val="000000"/>
          <w:lang w:eastAsia="en-AU"/>
        </w:rPr>
        <w:t>more than simp</w:t>
      </w:r>
      <w:r w:rsidR="00D4624B">
        <w:rPr>
          <w:rFonts w:eastAsia="Calibri" w:cs="Times New Roman"/>
          <w:color w:val="000000"/>
          <w:lang w:eastAsia="en-AU"/>
        </w:rPr>
        <w:t>ly the value of</w:t>
      </w:r>
      <w:r w:rsidR="00A72B6F">
        <w:rPr>
          <w:rFonts w:eastAsia="Calibri" w:cs="Times New Roman"/>
          <w:color w:val="000000"/>
          <w:lang w:eastAsia="en-AU"/>
        </w:rPr>
        <w:t xml:space="preserve"> single</w:t>
      </w:r>
      <w:r w:rsidR="001B7C40">
        <w:rPr>
          <w:rFonts w:eastAsia="Calibri" w:cs="Times New Roman"/>
          <w:color w:val="000000"/>
          <w:lang w:eastAsia="en-AU"/>
        </w:rPr>
        <w:t xml:space="preserve"> measured</w:t>
      </w:r>
      <w:r w:rsidR="00D4624B">
        <w:rPr>
          <w:rFonts w:eastAsia="Calibri" w:cs="Times New Roman"/>
          <w:color w:val="000000"/>
          <w:lang w:eastAsia="en-AU"/>
        </w:rPr>
        <w:t xml:space="preserve"> </w:t>
      </w:r>
      <w:r w:rsidR="0029675A">
        <w:rPr>
          <w:rFonts w:eastAsia="Calibri" w:cs="Times New Roman"/>
          <w:color w:val="000000"/>
          <w:lang w:eastAsia="en-AU"/>
        </w:rPr>
        <w:t>variable</w:t>
      </w:r>
      <w:r w:rsidR="00D4624B">
        <w:rPr>
          <w:rFonts w:eastAsia="Calibri" w:cs="Times New Roman"/>
          <w:color w:val="000000"/>
          <w:lang w:eastAsia="en-AU"/>
        </w:rPr>
        <w:t>s</w:t>
      </w:r>
      <w:r w:rsidR="00AB309C">
        <w:rPr>
          <w:rFonts w:eastAsia="Calibri" w:cs="Times New Roman"/>
          <w:color w:val="000000"/>
          <w:lang w:eastAsia="en-AU"/>
        </w:rPr>
        <w:t>,</w:t>
      </w:r>
      <w:r w:rsidR="0029675A">
        <w:rPr>
          <w:rFonts w:eastAsia="Calibri" w:cs="Times New Roman"/>
          <w:color w:val="000000"/>
          <w:lang w:eastAsia="en-AU"/>
        </w:rPr>
        <w:t xml:space="preserve"> such as income. </w:t>
      </w:r>
      <w:r w:rsidR="00D4624B">
        <w:rPr>
          <w:rFonts w:eastAsia="Calibri" w:cs="Times New Roman"/>
          <w:color w:val="000000"/>
          <w:lang w:eastAsia="en-AU"/>
        </w:rPr>
        <w:t>They propose</w:t>
      </w:r>
      <w:r w:rsidR="00C05065">
        <w:rPr>
          <w:rFonts w:eastAsia="Calibri" w:cs="Times New Roman"/>
          <w:color w:val="000000"/>
          <w:lang w:eastAsia="en-AU"/>
        </w:rPr>
        <w:t xml:space="preserve"> that </w:t>
      </w:r>
      <w:r w:rsidR="00A72B6F">
        <w:rPr>
          <w:rFonts w:eastAsia="Calibri" w:cs="Times New Roman"/>
          <w:color w:val="000000"/>
          <w:lang w:eastAsia="en-AU"/>
        </w:rPr>
        <w:t>SWB</w:t>
      </w:r>
      <w:r w:rsidR="0029675A">
        <w:rPr>
          <w:rFonts w:eastAsia="Calibri" w:cs="Times New Roman"/>
          <w:color w:val="000000"/>
          <w:lang w:eastAsia="en-AU"/>
        </w:rPr>
        <w:t xml:space="preserve"> </w:t>
      </w:r>
      <w:r w:rsidR="00AB309C">
        <w:rPr>
          <w:rFonts w:eastAsia="Calibri" w:cs="Times New Roman"/>
          <w:color w:val="000000"/>
          <w:lang w:eastAsia="en-AU"/>
        </w:rPr>
        <w:t xml:space="preserve">is </w:t>
      </w:r>
      <w:r w:rsidR="00D4624B">
        <w:rPr>
          <w:rFonts w:eastAsia="Calibri" w:cs="Times New Roman"/>
          <w:color w:val="000000"/>
          <w:lang w:eastAsia="en-AU"/>
        </w:rPr>
        <w:t>additionally</w:t>
      </w:r>
      <w:r w:rsidR="00AB309C">
        <w:rPr>
          <w:rFonts w:eastAsia="Calibri" w:cs="Times New Roman"/>
          <w:color w:val="000000"/>
          <w:lang w:eastAsia="en-AU"/>
        </w:rPr>
        <w:t xml:space="preserve"> </w:t>
      </w:r>
      <w:r w:rsidR="0029675A">
        <w:rPr>
          <w:rFonts w:eastAsia="Calibri" w:cs="Times New Roman"/>
          <w:color w:val="000000"/>
          <w:lang w:eastAsia="en-AU"/>
        </w:rPr>
        <w:t xml:space="preserve">influenced by the perceived value placed on </w:t>
      </w:r>
      <w:r w:rsidR="001B7C40">
        <w:rPr>
          <w:rFonts w:eastAsia="Calibri" w:cs="Times New Roman"/>
          <w:color w:val="000000"/>
          <w:lang w:eastAsia="en-AU"/>
        </w:rPr>
        <w:t>(income)</w:t>
      </w:r>
      <w:r w:rsidR="00AB309C">
        <w:rPr>
          <w:rFonts w:eastAsia="Calibri" w:cs="Times New Roman"/>
          <w:color w:val="000000"/>
          <w:lang w:eastAsia="en-AU"/>
        </w:rPr>
        <w:t>, generated</w:t>
      </w:r>
      <w:r w:rsidR="001B7C40">
        <w:rPr>
          <w:rFonts w:eastAsia="Calibri" w:cs="Times New Roman"/>
          <w:color w:val="000000"/>
          <w:lang w:eastAsia="en-AU"/>
        </w:rPr>
        <w:t xml:space="preserve"> by</w:t>
      </w:r>
      <w:r w:rsidR="00A72B6F">
        <w:rPr>
          <w:rFonts w:eastAsia="Calibri" w:cs="Times New Roman"/>
          <w:color w:val="000000"/>
          <w:lang w:eastAsia="en-AU"/>
        </w:rPr>
        <w:t xml:space="preserve"> comparative process</w:t>
      </w:r>
      <w:r w:rsidR="001B7C40">
        <w:rPr>
          <w:rFonts w:eastAsia="Calibri" w:cs="Times New Roman"/>
          <w:color w:val="000000"/>
          <w:lang w:eastAsia="en-AU"/>
        </w:rPr>
        <w:t>es</w:t>
      </w:r>
      <w:r w:rsidR="00A72B6F">
        <w:rPr>
          <w:rFonts w:eastAsia="Calibri" w:cs="Times New Roman"/>
          <w:color w:val="000000"/>
          <w:lang w:eastAsia="en-AU"/>
        </w:rPr>
        <w:t>. T</w:t>
      </w:r>
      <w:r w:rsidR="008936E0">
        <w:rPr>
          <w:rFonts w:eastAsia="Calibri" w:cs="Times New Roman"/>
          <w:color w:val="000000"/>
          <w:lang w:eastAsia="en-AU"/>
        </w:rPr>
        <w:t>he t</w:t>
      </w:r>
      <w:r w:rsidR="00A72B6F">
        <w:rPr>
          <w:rFonts w:eastAsia="Calibri" w:cs="Times New Roman"/>
          <w:color w:val="000000"/>
          <w:lang w:eastAsia="en-AU"/>
        </w:rPr>
        <w:t>wo such processes, identified by Graeme, are ‘expectations’ and ‘entitlement.’</w:t>
      </w:r>
      <w:r w:rsidR="0029675A">
        <w:rPr>
          <w:rFonts w:eastAsia="Calibri" w:cs="Times New Roman"/>
          <w:color w:val="000000"/>
          <w:lang w:eastAsia="en-AU"/>
        </w:rPr>
        <w:t xml:space="preserve"> </w:t>
      </w:r>
    </w:p>
    <w:p w:rsidR="0029675A" w:rsidRDefault="0029675A" w:rsidP="00FB5AD0">
      <w:pPr>
        <w:rPr>
          <w:rFonts w:eastAsia="Calibri" w:cs="Times New Roman"/>
          <w:color w:val="000000"/>
          <w:lang w:eastAsia="en-AU"/>
        </w:rPr>
      </w:pPr>
    </w:p>
    <w:p w:rsidR="00FB5AD0" w:rsidRPr="00FB5AD0" w:rsidRDefault="00A72B6F" w:rsidP="00FB5AD0">
      <w:pPr>
        <w:rPr>
          <w:rFonts w:eastAsia="Calibri" w:cs="Times New Roman"/>
          <w:color w:val="000000"/>
          <w:lang w:eastAsia="en-AU"/>
        </w:rPr>
      </w:pPr>
      <w:r>
        <w:rPr>
          <w:rFonts w:eastAsia="Calibri" w:cs="Times New Roman"/>
          <w:color w:val="000000"/>
          <w:lang w:eastAsia="en-AU"/>
        </w:rPr>
        <w:t>Both processes</w:t>
      </w:r>
      <w:r w:rsidR="003A38C4">
        <w:rPr>
          <w:rFonts w:eastAsia="Calibri" w:cs="Times New Roman"/>
          <w:color w:val="000000"/>
          <w:lang w:eastAsia="en-AU"/>
        </w:rPr>
        <w:t xml:space="preserve"> </w:t>
      </w:r>
      <w:r>
        <w:rPr>
          <w:rFonts w:eastAsia="Calibri" w:cs="Times New Roman"/>
          <w:color w:val="000000"/>
          <w:lang w:eastAsia="en-AU"/>
        </w:rPr>
        <w:t>involve</w:t>
      </w:r>
      <w:r w:rsidR="00FB5AD0" w:rsidRPr="00FB5AD0">
        <w:rPr>
          <w:rFonts w:eastAsia="Calibri" w:cs="Times New Roman"/>
          <w:color w:val="000000"/>
          <w:lang w:eastAsia="en-AU"/>
        </w:rPr>
        <w:t xml:space="preserve"> perceived differences between </w:t>
      </w:r>
      <w:r w:rsidR="005B0B22">
        <w:rPr>
          <w:rFonts w:eastAsia="Calibri" w:cs="Times New Roman"/>
          <w:color w:val="000000"/>
          <w:lang w:eastAsia="en-AU"/>
        </w:rPr>
        <w:t>a</w:t>
      </w:r>
      <w:r w:rsidR="00FB5AD0" w:rsidRPr="00FB5AD0">
        <w:rPr>
          <w:rFonts w:eastAsia="Calibri" w:cs="Times New Roman"/>
          <w:color w:val="000000"/>
          <w:lang w:eastAsia="en-AU"/>
        </w:rPr>
        <w:t xml:space="preserve"> reference level, such as desired/expected/entitled income, and the perceived reality, as actual income. </w:t>
      </w:r>
      <w:r w:rsidR="0057301E">
        <w:rPr>
          <w:rFonts w:eastAsia="Calibri" w:cs="Times New Roman"/>
          <w:color w:val="000000"/>
          <w:lang w:eastAsia="en-AU"/>
        </w:rPr>
        <w:t xml:space="preserve">While many </w:t>
      </w:r>
      <w:r>
        <w:rPr>
          <w:rFonts w:eastAsia="Calibri" w:cs="Times New Roman"/>
          <w:color w:val="000000"/>
          <w:lang w:eastAsia="en-AU"/>
        </w:rPr>
        <w:t xml:space="preserve">models </w:t>
      </w:r>
      <w:r w:rsidR="0057301E">
        <w:rPr>
          <w:rFonts w:eastAsia="Calibri" w:cs="Times New Roman"/>
          <w:color w:val="000000"/>
          <w:lang w:eastAsia="en-AU"/>
        </w:rPr>
        <w:t xml:space="preserve">have been </w:t>
      </w:r>
      <w:r>
        <w:rPr>
          <w:rFonts w:eastAsia="Calibri" w:cs="Times New Roman"/>
          <w:color w:val="000000"/>
          <w:lang w:eastAsia="en-AU"/>
        </w:rPr>
        <w:t>devised to explain</w:t>
      </w:r>
      <w:r w:rsidR="0057301E">
        <w:rPr>
          <w:rFonts w:eastAsia="Calibri" w:cs="Times New Roman"/>
          <w:color w:val="000000"/>
          <w:lang w:eastAsia="en-AU"/>
        </w:rPr>
        <w:t xml:space="preserve"> how the</w:t>
      </w:r>
      <w:r w:rsidR="00D4624B">
        <w:rPr>
          <w:rFonts w:eastAsia="Calibri" w:cs="Times New Roman"/>
          <w:color w:val="000000"/>
          <w:lang w:eastAsia="en-AU"/>
        </w:rPr>
        <w:t xml:space="preserve"> resulting</w:t>
      </w:r>
      <w:r>
        <w:rPr>
          <w:rFonts w:eastAsia="Calibri" w:cs="Times New Roman"/>
          <w:color w:val="000000"/>
          <w:lang w:eastAsia="en-AU"/>
        </w:rPr>
        <w:t xml:space="preserve"> </w:t>
      </w:r>
      <w:r w:rsidR="0057301E" w:rsidRPr="00FB5AD0">
        <w:rPr>
          <w:rFonts w:eastAsia="Calibri" w:cs="Times New Roman"/>
          <w:color w:val="000000"/>
          <w:lang w:eastAsia="en-AU"/>
        </w:rPr>
        <w:t>‘gap’</w:t>
      </w:r>
      <w:r w:rsidR="0057301E">
        <w:rPr>
          <w:rFonts w:eastAsia="Calibri" w:cs="Times New Roman"/>
          <w:color w:val="000000"/>
          <w:lang w:eastAsia="en-AU"/>
        </w:rPr>
        <w:t xml:space="preserve"> </w:t>
      </w:r>
      <w:r w:rsidR="001B7C40">
        <w:rPr>
          <w:rFonts w:eastAsia="Calibri" w:cs="Times New Roman"/>
          <w:color w:val="000000"/>
          <w:lang w:eastAsia="en-AU"/>
        </w:rPr>
        <w:t>contributes to the prediction of SWB</w:t>
      </w:r>
      <w:r w:rsidR="0057301E">
        <w:rPr>
          <w:rFonts w:eastAsia="Calibri" w:cs="Times New Roman"/>
          <w:color w:val="000000"/>
          <w:lang w:eastAsia="en-AU"/>
        </w:rPr>
        <w:t>, they</w:t>
      </w:r>
      <w:r>
        <w:rPr>
          <w:rFonts w:eastAsia="Calibri" w:cs="Times New Roman"/>
          <w:color w:val="000000"/>
          <w:lang w:eastAsia="en-AU"/>
        </w:rPr>
        <w:t xml:space="preserve"> all </w:t>
      </w:r>
      <w:r w:rsidR="005B0B22">
        <w:rPr>
          <w:rFonts w:eastAsia="Calibri" w:cs="Times New Roman"/>
          <w:color w:val="000000"/>
          <w:lang w:eastAsia="en-AU"/>
        </w:rPr>
        <w:t xml:space="preserve">involve </w:t>
      </w:r>
      <w:r>
        <w:rPr>
          <w:rFonts w:eastAsia="Calibri" w:cs="Times New Roman"/>
          <w:color w:val="000000"/>
          <w:lang w:eastAsia="en-AU"/>
        </w:rPr>
        <w:t>the assumption that the magnitude of the ‘gap’ adds</w:t>
      </w:r>
      <w:r w:rsidR="005B0B22">
        <w:rPr>
          <w:rFonts w:eastAsia="Calibri" w:cs="Times New Roman"/>
          <w:color w:val="000000"/>
          <w:lang w:eastAsia="en-AU"/>
        </w:rPr>
        <w:t xml:space="preserve"> unique</w:t>
      </w:r>
      <w:r>
        <w:rPr>
          <w:rFonts w:eastAsia="Calibri" w:cs="Times New Roman"/>
          <w:color w:val="000000"/>
          <w:lang w:eastAsia="en-AU"/>
        </w:rPr>
        <w:t xml:space="preserve"> predictive variance </w:t>
      </w:r>
      <w:r w:rsidR="005B0B22">
        <w:rPr>
          <w:rFonts w:eastAsia="Calibri" w:cs="Times New Roman"/>
          <w:color w:val="000000"/>
          <w:lang w:eastAsia="en-AU"/>
        </w:rPr>
        <w:t xml:space="preserve">beyond that accounted for by the magnitude of (money) alone.  </w:t>
      </w:r>
      <w:r>
        <w:rPr>
          <w:rFonts w:eastAsia="Calibri" w:cs="Times New Roman"/>
          <w:color w:val="000000"/>
          <w:lang w:eastAsia="en-AU"/>
        </w:rPr>
        <w:t xml:space="preserve"> </w:t>
      </w:r>
      <w:r w:rsidR="005B0B22">
        <w:rPr>
          <w:rFonts w:eastAsia="Calibri" w:cs="Times New Roman"/>
          <w:color w:val="000000"/>
          <w:lang w:eastAsia="en-AU"/>
        </w:rPr>
        <w:t xml:space="preserve">Examples of </w:t>
      </w:r>
      <w:r w:rsidR="00AB309C">
        <w:rPr>
          <w:rFonts w:eastAsia="Calibri" w:cs="Times New Roman"/>
          <w:color w:val="000000"/>
          <w:lang w:eastAsia="en-AU"/>
        </w:rPr>
        <w:t>other</w:t>
      </w:r>
      <w:r w:rsidR="005B0B22">
        <w:rPr>
          <w:rFonts w:eastAsia="Calibri" w:cs="Times New Roman"/>
          <w:color w:val="000000"/>
          <w:lang w:eastAsia="en-AU"/>
        </w:rPr>
        <w:t xml:space="preserve"> </w:t>
      </w:r>
      <w:r w:rsidR="0057301E">
        <w:rPr>
          <w:rFonts w:eastAsia="Calibri" w:cs="Times New Roman"/>
          <w:color w:val="000000"/>
          <w:lang w:eastAsia="en-AU"/>
        </w:rPr>
        <w:t>variables</w:t>
      </w:r>
      <w:r w:rsidR="005B0B22">
        <w:rPr>
          <w:rFonts w:eastAsia="Calibri" w:cs="Times New Roman"/>
          <w:color w:val="000000"/>
          <w:lang w:eastAsia="en-AU"/>
        </w:rPr>
        <w:t xml:space="preserve"> </w:t>
      </w:r>
      <w:r w:rsidR="0057301E">
        <w:rPr>
          <w:rFonts w:eastAsia="Calibri" w:cs="Times New Roman"/>
          <w:color w:val="000000"/>
          <w:lang w:eastAsia="en-AU"/>
        </w:rPr>
        <w:t>that have been proposed to yield</w:t>
      </w:r>
      <w:r w:rsidR="005B0B22">
        <w:rPr>
          <w:rFonts w:eastAsia="Calibri" w:cs="Times New Roman"/>
          <w:color w:val="000000"/>
          <w:lang w:eastAsia="en-AU"/>
        </w:rPr>
        <w:t xml:space="preserve"> </w:t>
      </w:r>
      <w:r w:rsidR="0057301E">
        <w:rPr>
          <w:rFonts w:eastAsia="Calibri" w:cs="Times New Roman"/>
          <w:color w:val="000000"/>
          <w:lang w:eastAsia="en-AU"/>
        </w:rPr>
        <w:t>‘</w:t>
      </w:r>
      <w:r w:rsidR="005B0B22">
        <w:rPr>
          <w:rFonts w:eastAsia="Calibri" w:cs="Times New Roman"/>
          <w:color w:val="000000"/>
          <w:lang w:eastAsia="en-AU"/>
        </w:rPr>
        <w:t>gap</w:t>
      </w:r>
      <w:r w:rsidR="0057301E">
        <w:rPr>
          <w:rFonts w:eastAsia="Calibri" w:cs="Times New Roman"/>
          <w:color w:val="000000"/>
          <w:lang w:eastAsia="en-AU"/>
        </w:rPr>
        <w:t>s’</w:t>
      </w:r>
      <w:r w:rsidR="005B0B22">
        <w:rPr>
          <w:rFonts w:eastAsia="Calibri" w:cs="Times New Roman"/>
          <w:color w:val="000000"/>
          <w:lang w:eastAsia="en-AU"/>
        </w:rPr>
        <w:t xml:space="preserve"> are</w:t>
      </w:r>
      <w:r w:rsidR="00FB5AD0" w:rsidRPr="00FB5AD0">
        <w:rPr>
          <w:rFonts w:eastAsia="Calibri" w:cs="Times New Roman"/>
          <w:color w:val="000000"/>
          <w:lang w:eastAsia="en-AU"/>
        </w:rPr>
        <w:t xml:space="preserve"> hopes and expectations </w:t>
      </w:r>
      <w:r w:rsidR="00FB5AD0" w:rsidRPr="00FB5AD0">
        <w:rPr>
          <w:rFonts w:eastAsia="Calibri" w:cs="Times New Roman"/>
          <w:color w:val="000000"/>
          <w:lang w:eastAsia="en-AU"/>
        </w:rPr>
        <w:fldChar w:fldCharType="begin"/>
      </w:r>
      <w:r w:rsidR="00FB5AD0" w:rsidRPr="00FB5AD0">
        <w:rPr>
          <w:rFonts w:eastAsia="Calibri" w:cs="Times New Roman"/>
          <w:color w:val="000000"/>
          <w:lang w:eastAsia="en-AU"/>
        </w:rPr>
        <w:instrText xml:space="preserve"> ADDIN EN.CITE &lt;EndNote&gt;&lt;Cite&gt;&lt;Author&gt;Calman&lt;/Author&gt;&lt;Year&gt;1984&lt;/Year&gt;&lt;RecNum&gt;3903&lt;/RecNum&gt;&lt;DisplayText&gt;(Calman, 1984)&lt;/DisplayText&gt;&lt;record&gt;&lt;rec-number&gt;3903&lt;/rec-number&gt;&lt;foreign-keys&gt;&lt;key app="EN" db-id="z2xarpe9cfrvp4ezdxk5ddx9dsrzr05f22sa" timestamp="1565757019"&gt;3903&lt;/key&gt;&lt;/foreign-keys&gt;&lt;ref-type name="Journal Article"&gt;17&lt;/ref-type&gt;&lt;contributors&gt;&lt;authors&gt;&lt;author&gt;Calman, K. C.&lt;/author&gt;&lt;/authors&gt;&lt;/contributors&gt;&lt;titles&gt;&lt;title&gt;Quality of life in cancer patients--an hypothesis&lt;/title&gt;&lt;secondary-title&gt;Journal of medical ethics&lt;/secondary-title&gt;&lt;/titles&gt;&lt;periodical&gt;&lt;full-title&gt;Journal of medical ethics&lt;/full-title&gt;&lt;/periodical&gt;&lt;pages&gt;124-127&lt;/pages&gt;&lt;volume&gt;10&lt;/volume&gt;&lt;number&gt;3&lt;/number&gt;&lt;dates&gt;&lt;year&gt;1984&lt;/year&gt;&lt;/dates&gt;&lt;isbn&gt;0306-6800&lt;/isbn&gt;&lt;urls&gt;&lt;/urls&gt;&lt;/record&gt;&lt;/Cite&gt;&lt;/EndNote&gt;</w:instrText>
      </w:r>
      <w:r w:rsidR="00FB5AD0" w:rsidRPr="00FB5AD0">
        <w:rPr>
          <w:rFonts w:eastAsia="Calibri" w:cs="Times New Roman"/>
          <w:color w:val="000000"/>
          <w:lang w:eastAsia="en-AU"/>
        </w:rPr>
        <w:fldChar w:fldCharType="separate"/>
      </w:r>
      <w:r w:rsidR="00FB5AD0" w:rsidRPr="00FB5AD0">
        <w:rPr>
          <w:rFonts w:eastAsia="Calibri" w:cs="Times New Roman"/>
          <w:noProof/>
          <w:color w:val="000000"/>
          <w:lang w:eastAsia="en-AU"/>
        </w:rPr>
        <w:t>(Calman, 1984)</w:t>
      </w:r>
      <w:r w:rsidR="00FB5AD0" w:rsidRPr="00FB5AD0">
        <w:rPr>
          <w:rFonts w:eastAsia="Calibri" w:cs="Times New Roman"/>
          <w:color w:val="000000"/>
          <w:lang w:eastAsia="en-AU"/>
        </w:rPr>
        <w:fldChar w:fldCharType="end"/>
      </w:r>
      <w:r w:rsidR="00FB5AD0" w:rsidRPr="00FB5AD0">
        <w:rPr>
          <w:rFonts w:eastAsia="Calibri" w:cs="Times New Roman"/>
          <w:color w:val="000000"/>
          <w:lang w:eastAsia="en-AU"/>
        </w:rPr>
        <w:t xml:space="preserve">, attained and desired goals </w:t>
      </w:r>
      <w:r w:rsidR="00FB5AD0" w:rsidRPr="00FB5AD0">
        <w:rPr>
          <w:rFonts w:eastAsia="Calibri" w:cs="Times New Roman"/>
          <w:color w:val="000000"/>
          <w:lang w:eastAsia="en-AU"/>
        </w:rPr>
        <w:fldChar w:fldCharType="begin"/>
      </w:r>
      <w:r w:rsidR="00FB5AD0" w:rsidRPr="00FB5AD0">
        <w:rPr>
          <w:rFonts w:eastAsia="Calibri" w:cs="Times New Roman"/>
          <w:color w:val="000000"/>
          <w:lang w:eastAsia="en-AU"/>
        </w:rPr>
        <w:instrText xml:space="preserve"> ADDIN EN.CITE &lt;EndNote&gt;&lt;Cite&gt;&lt;Author&gt;Bergner&lt;/Author&gt;&lt;Year&gt;1989&lt;/Year&gt;&lt;RecNum&gt;3904&lt;/RecNum&gt;&lt;DisplayText&gt;(Bergner, 1989)&lt;/DisplayText&gt;&lt;record&gt;&lt;rec-number&gt;3904&lt;/rec-number&gt;&lt;foreign-keys&gt;&lt;key app="EN" db-id="z2xarpe9cfrvp4ezdxk5ddx9dsrzr05f22sa" timestamp="1565757262"&gt;3904&lt;/key&gt;&lt;/foreign-keys&gt;&lt;ref-type name="Journal Article"&gt;17&lt;/ref-type&gt;&lt;contributors&gt;&lt;authors&gt;&lt;author&gt;Bergner, M.&lt;/author&gt;&lt;/authors&gt;&lt;/contributors&gt;&lt;titles&gt;&lt;title&gt;Quality of life, health status, and clinical research&lt;/title&gt;&lt;secondary-title&gt;Medical care&lt;/secondary-title&gt;&lt;/titles&gt;&lt;periodical&gt;&lt;full-title&gt;Medical Care&lt;/full-title&gt;&lt;/periodical&gt;&lt;pages&gt;S148-S156&lt;/pages&gt;&lt;volume&gt;27&lt;/volume&gt;&lt;dates&gt;&lt;year&gt;1989&lt;/year&gt;&lt;/dates&gt;&lt;isbn&gt;0025-7079&lt;/isbn&gt;&lt;urls&gt;&lt;/urls&gt;&lt;/record&gt;&lt;/Cite&gt;&lt;/EndNote&gt;</w:instrText>
      </w:r>
      <w:r w:rsidR="00FB5AD0" w:rsidRPr="00FB5AD0">
        <w:rPr>
          <w:rFonts w:eastAsia="Calibri" w:cs="Times New Roman"/>
          <w:color w:val="000000"/>
          <w:lang w:eastAsia="en-AU"/>
        </w:rPr>
        <w:fldChar w:fldCharType="separate"/>
      </w:r>
      <w:r w:rsidR="00FB5AD0" w:rsidRPr="00FB5AD0">
        <w:rPr>
          <w:rFonts w:eastAsia="Calibri" w:cs="Times New Roman"/>
          <w:noProof/>
          <w:color w:val="000000"/>
          <w:lang w:eastAsia="en-AU"/>
        </w:rPr>
        <w:t>(Bergner, 1989)</w:t>
      </w:r>
      <w:r w:rsidR="00FB5AD0" w:rsidRPr="00FB5AD0">
        <w:rPr>
          <w:rFonts w:eastAsia="Calibri" w:cs="Times New Roman"/>
          <w:color w:val="000000"/>
          <w:lang w:eastAsia="en-AU"/>
        </w:rPr>
        <w:fldChar w:fldCharType="end"/>
      </w:r>
      <w:r w:rsidR="00FB5AD0" w:rsidRPr="00FB5AD0">
        <w:rPr>
          <w:rFonts w:eastAsia="Calibri" w:cs="Times New Roman"/>
          <w:color w:val="000000"/>
          <w:lang w:eastAsia="en-AU"/>
        </w:rPr>
        <w:t xml:space="preserve">, capabilities </w:t>
      </w:r>
      <w:r w:rsidR="00FB5AD0" w:rsidRPr="00FB5AD0">
        <w:rPr>
          <w:rFonts w:eastAsia="Calibri" w:cs="Times New Roman"/>
          <w:color w:val="000000"/>
          <w:lang w:eastAsia="en-AU"/>
        </w:rPr>
        <w:fldChar w:fldCharType="begin"/>
      </w:r>
      <w:r w:rsidR="00FB5AD0" w:rsidRPr="00FB5AD0">
        <w:rPr>
          <w:rFonts w:eastAsia="Calibri" w:cs="Times New Roman"/>
          <w:color w:val="000000"/>
          <w:lang w:eastAsia="en-AU"/>
        </w:rPr>
        <w:instrText xml:space="preserve"> ADDIN EN.CITE &lt;EndNote&gt;&lt;Cite&gt;&lt;Author&gt;Ruta&lt;/Author&gt;&lt;Year&gt;2007&lt;/Year&gt;&lt;RecNum&gt;3653&lt;/RecNum&gt;&lt;DisplayText&gt;(Ruta, Camfield, &amp;amp; Donaldson, 2007)&lt;/DisplayText&gt;&lt;record&gt;&lt;rec-number&gt;3653&lt;/rec-number&gt;&lt;foreign-keys&gt;&lt;key app="EN" db-id="z2xarpe9cfrvp4ezdxk5ddx9dsrzr05f22sa" timestamp="1533803648"&gt;3653&lt;/key&gt;&lt;/foreign-keys&gt;&lt;ref-type name="Journal Article"&gt;17&lt;/ref-type&gt;&lt;contributors&gt;&lt;authors&gt;&lt;author&gt;Ruta, D.&lt;/author&gt;&lt;author&gt;Camfield, Laura&lt;/author&gt;&lt;author&gt;Donaldson, Cam&lt;/author&gt;&lt;/authors&gt;&lt;/contributors&gt;&lt;titles&gt;&lt;title&gt;Sen and the art of quality of life maintenance: Towards a general theory of quality of life and its causation&lt;/title&gt;&lt;secondary-title&gt;The Journal of Socio-Economics&lt;/secondary-title&gt;&lt;/titles&gt;&lt;periodical&gt;&lt;full-title&gt;The Journal of Socio-Economics&lt;/full-title&gt;&lt;/periodical&gt;&lt;pages&gt;397-423&lt;/pages&gt;&lt;volume&gt;36&lt;/volume&gt;&lt;number&gt;3&lt;/number&gt;&lt;dates&gt;&lt;year&gt;2007&lt;/year&gt;&lt;/dates&gt;&lt;isbn&gt;1053-5357&lt;/isbn&gt;&lt;urls&gt;&lt;/urls&gt;&lt;/record&gt;&lt;/Cite&gt;&lt;/EndNote&gt;</w:instrText>
      </w:r>
      <w:r w:rsidR="00FB5AD0" w:rsidRPr="00FB5AD0">
        <w:rPr>
          <w:rFonts w:eastAsia="Calibri" w:cs="Times New Roman"/>
          <w:color w:val="000000"/>
          <w:lang w:eastAsia="en-AU"/>
        </w:rPr>
        <w:fldChar w:fldCharType="separate"/>
      </w:r>
      <w:r w:rsidR="00FB5AD0" w:rsidRPr="00FB5AD0">
        <w:rPr>
          <w:rFonts w:eastAsia="Calibri" w:cs="Times New Roman"/>
          <w:noProof/>
          <w:color w:val="000000"/>
          <w:lang w:eastAsia="en-AU"/>
        </w:rPr>
        <w:t>(Ruta, Camfield, &amp; Donaldson, 2007)</w:t>
      </w:r>
      <w:r w:rsidR="00FB5AD0" w:rsidRPr="00FB5AD0">
        <w:rPr>
          <w:rFonts w:eastAsia="Calibri" w:cs="Times New Roman"/>
          <w:color w:val="000000"/>
          <w:lang w:eastAsia="en-AU"/>
        </w:rPr>
        <w:fldChar w:fldCharType="end"/>
      </w:r>
      <w:r w:rsidR="00FB5AD0" w:rsidRPr="00FB5AD0">
        <w:rPr>
          <w:rFonts w:eastAsia="Calibri" w:cs="Times New Roman"/>
          <w:color w:val="000000"/>
          <w:lang w:eastAsia="en-AU"/>
        </w:rPr>
        <w:t>, etc. One of the most thorough and articulate</w:t>
      </w:r>
      <w:r w:rsidR="00AB309C">
        <w:rPr>
          <w:rFonts w:eastAsia="Calibri" w:cs="Times New Roman"/>
          <w:color w:val="000000"/>
          <w:lang w:eastAsia="en-AU"/>
        </w:rPr>
        <w:t>d</w:t>
      </w:r>
      <w:r w:rsidR="00FB5AD0" w:rsidRPr="00FB5AD0">
        <w:rPr>
          <w:rFonts w:eastAsia="Calibri" w:cs="Times New Roman"/>
          <w:color w:val="000000"/>
          <w:lang w:eastAsia="en-AU"/>
        </w:rPr>
        <w:t xml:space="preserve"> </w:t>
      </w:r>
      <w:r w:rsidR="005B0B22" w:rsidRPr="00FB5AD0">
        <w:rPr>
          <w:rFonts w:eastAsia="Calibri" w:cs="Times New Roman"/>
          <w:color w:val="000000"/>
          <w:lang w:eastAsia="en-AU"/>
        </w:rPr>
        <w:t xml:space="preserve">of these gap theories </w:t>
      </w:r>
      <w:r w:rsidR="00FB5AD0" w:rsidRPr="00FB5AD0">
        <w:rPr>
          <w:rFonts w:eastAsia="Calibri" w:cs="Times New Roman"/>
          <w:color w:val="000000"/>
          <w:lang w:eastAsia="en-AU"/>
        </w:rPr>
        <w:fldChar w:fldCharType="begin"/>
      </w:r>
      <w:r w:rsidR="00FB5AD0" w:rsidRPr="00FB5AD0">
        <w:rPr>
          <w:rFonts w:eastAsia="Calibri" w:cs="Times New Roman"/>
          <w:color w:val="000000"/>
          <w:lang w:eastAsia="en-AU"/>
        </w:rPr>
        <w:instrText xml:space="preserve"> ADDIN EN.CITE &lt;EndNote&gt;&lt;Cite&gt;&lt;Author&gt;Andrews&lt;/Author&gt;&lt;Year&gt;1991&lt;/Year&gt;&lt;RecNum&gt;1324&lt;/RecNum&gt;&lt;Prefix&gt;see &lt;/Prefix&gt;&lt;DisplayText&gt;(see Andrews &amp;amp; Robinson, 1991)&lt;/DisplayText&gt;&lt;record&gt;&lt;rec-number&gt;1324&lt;/rec-number&gt;&lt;foreign-keys&gt;&lt;key app="EN" db-id="z2xarpe9cfrvp4ezdxk5ddx9dsrzr05f22sa" timestamp="1408912091"&gt;1324&lt;/key&gt;&lt;/foreign-keys&gt;&lt;ref-type name="Electronic Book Section"&gt;60&lt;/ref-type&gt;&lt;contributors&gt;&lt;authors&gt;&lt;author&gt;Andrews, F. M.&lt;/author&gt;&lt;author&gt;Robinson, J. P.&lt;/author&gt;&lt;/authors&gt;&lt;secondary-authors&gt;&lt;author&gt;Andrews, F. M.&lt;/author&gt;&lt;author&gt;Robinson, J. P.&lt;/author&gt;&lt;author&gt;Shaver, P. R.&lt;/author&gt;&lt;author&gt;Wrightsman, L. S.&lt;/author&gt;&lt;/secondary-authors&gt;&lt;/contributors&gt;&lt;titles&gt;&lt;title&gt;Measures of subjective well-being&lt;/title&gt;&lt;secondary-title&gt;Measures of personality and social psychological attitudes&lt;/secondary-title&gt;&lt;/titles&gt;&lt;periodical&gt;&lt;full-title&gt;Measures of personality and social psychological attitudes&lt;/full-title&gt;&lt;/periodical&gt;&lt;pages&gt;61-114&lt;/pages&gt;&lt;volume&gt;1&lt;/volume&gt;&lt;dates&gt;&lt;year&gt;1991&lt;/year&gt;&lt;/dates&gt;&lt;pub-location&gt;Houston, Texas&lt;/pub-location&gt;&lt;publisher&gt;Gulf Professional Publishing&lt;/publisher&gt;&lt;urls&gt;&lt;/urls&gt;&lt;/record&gt;&lt;/Cite&gt;&lt;/EndNote&gt;</w:instrText>
      </w:r>
      <w:r w:rsidR="00FB5AD0" w:rsidRPr="00FB5AD0">
        <w:rPr>
          <w:rFonts w:eastAsia="Calibri" w:cs="Times New Roman"/>
          <w:color w:val="000000"/>
          <w:lang w:eastAsia="en-AU"/>
        </w:rPr>
        <w:fldChar w:fldCharType="separate"/>
      </w:r>
      <w:r w:rsidR="00FB5AD0" w:rsidRPr="00FB5AD0">
        <w:rPr>
          <w:rFonts w:eastAsia="Calibri" w:cs="Times New Roman"/>
          <w:noProof/>
          <w:color w:val="000000"/>
          <w:lang w:eastAsia="en-AU"/>
        </w:rPr>
        <w:t>(see Andrews &amp; Robinson, 1991)</w:t>
      </w:r>
      <w:r w:rsidR="00FB5AD0" w:rsidRPr="00FB5AD0">
        <w:rPr>
          <w:rFonts w:eastAsia="Calibri" w:cs="Times New Roman"/>
          <w:color w:val="000000"/>
          <w:lang w:eastAsia="en-AU"/>
        </w:rPr>
        <w:fldChar w:fldCharType="end"/>
      </w:r>
      <w:r w:rsidR="00FB5AD0" w:rsidRPr="00FB5AD0">
        <w:rPr>
          <w:rFonts w:eastAsia="Calibri" w:cs="Times New Roman"/>
          <w:color w:val="000000"/>
          <w:lang w:eastAsia="en-AU"/>
        </w:rPr>
        <w:t xml:space="preserve"> in relation to SWB</w:t>
      </w:r>
      <w:r w:rsidR="005B0B22">
        <w:rPr>
          <w:rFonts w:eastAsia="Calibri" w:cs="Times New Roman"/>
          <w:color w:val="000000"/>
          <w:lang w:eastAsia="en-AU"/>
        </w:rPr>
        <w:t>,</w:t>
      </w:r>
      <w:r w:rsidR="00FB5AD0" w:rsidRPr="00FB5AD0">
        <w:rPr>
          <w:rFonts w:eastAsia="Calibri" w:cs="Times New Roman"/>
          <w:color w:val="000000"/>
          <w:lang w:eastAsia="en-AU"/>
        </w:rPr>
        <w:t xml:space="preserve"> is Multiple Discrepancies Theory </w:t>
      </w:r>
      <w:r w:rsidR="00FB5AD0" w:rsidRPr="00FB5AD0">
        <w:rPr>
          <w:rFonts w:eastAsia="Calibri" w:cs="Times New Roman"/>
          <w:color w:val="000000"/>
          <w:lang w:eastAsia="en-AU"/>
        </w:rPr>
        <w:fldChar w:fldCharType="begin"/>
      </w:r>
      <w:r w:rsidR="00FB5AD0" w:rsidRPr="00FB5AD0">
        <w:rPr>
          <w:rFonts w:eastAsia="Calibri" w:cs="Times New Roman"/>
          <w:color w:val="000000"/>
          <w:lang w:eastAsia="en-AU"/>
        </w:rPr>
        <w:instrText xml:space="preserve"> ADDIN EN.CITE &lt;EndNote&gt;&lt;Cite&gt;&lt;Author&gt;Michalos&lt;/Author&gt;&lt;Year&gt;1985&lt;/Year&gt;&lt;RecNum&gt;498&lt;/RecNum&gt;&lt;DisplayText&gt;(Michalos, 1985)&lt;/DisplayText&gt;&lt;record&gt;&lt;rec-number&gt;498&lt;/rec-number&gt;&lt;foreign-keys&gt;&lt;key app="EN" db-id="z2xarpe9cfrvp4ezdxk5ddx9dsrzr05f22sa" timestamp="1343947764"&gt;498&lt;/key&gt;&lt;/foreign-keys&gt;&lt;ref-type name="Journal Article"&gt;17&lt;/ref-type&gt;&lt;contributors&gt;&lt;authors&gt;&lt;author&gt;Michalos, A. C.&lt;/author&gt;&lt;/authors&gt;&lt;/contributors&gt;&lt;titles&gt;&lt;title&gt;Multiple Discrepancies Theory (MDT)&lt;/title&gt;&lt;secondary-title&gt;Social Indicators Research&lt;/secondary-title&gt;&lt;/titles&gt;&lt;periodical&gt;&lt;full-title&gt;Social Indicators Research&lt;/full-title&gt;&lt;/periodical&gt;&lt;pages&gt;347-413&lt;/pages&gt;&lt;volume&gt;16&lt;/volume&gt;&lt;dates&gt;&lt;year&gt;1985&lt;/year&gt;&lt;/dates&gt;&lt;urls&gt;&lt;/urls&gt;&lt;/record&gt;&lt;/Cite&gt;&lt;/EndNote&gt;</w:instrText>
      </w:r>
      <w:r w:rsidR="00FB5AD0" w:rsidRPr="00FB5AD0">
        <w:rPr>
          <w:rFonts w:eastAsia="Calibri" w:cs="Times New Roman"/>
          <w:color w:val="000000"/>
          <w:lang w:eastAsia="en-AU"/>
        </w:rPr>
        <w:fldChar w:fldCharType="separate"/>
      </w:r>
      <w:r w:rsidR="00FB5AD0" w:rsidRPr="00FB5AD0">
        <w:rPr>
          <w:rFonts w:eastAsia="Calibri" w:cs="Times New Roman"/>
          <w:noProof/>
          <w:color w:val="000000"/>
          <w:lang w:eastAsia="en-AU"/>
        </w:rPr>
        <w:t>(Michalos, 1985)</w:t>
      </w:r>
      <w:r w:rsidR="00FB5AD0" w:rsidRPr="00FB5AD0">
        <w:rPr>
          <w:rFonts w:eastAsia="Calibri" w:cs="Times New Roman"/>
          <w:color w:val="000000"/>
          <w:lang w:eastAsia="en-AU"/>
        </w:rPr>
        <w:fldChar w:fldCharType="end"/>
      </w:r>
      <w:r w:rsidR="00FB5AD0" w:rsidRPr="00FB5AD0">
        <w:rPr>
          <w:rFonts w:eastAsia="Calibri" w:cs="Times New Roman"/>
          <w:color w:val="000000"/>
          <w:lang w:eastAsia="en-AU"/>
        </w:rPr>
        <w:t>. However, before examining the evidence for this theoretical direction, it is worth considering what such ‘gaps’ represent</w:t>
      </w:r>
      <w:r w:rsidR="0057301E">
        <w:rPr>
          <w:rFonts w:eastAsia="Calibri" w:cs="Times New Roman"/>
          <w:color w:val="000000"/>
          <w:lang w:eastAsia="en-AU"/>
        </w:rPr>
        <w:t xml:space="preserve"> in terms of psychological processing</w:t>
      </w:r>
      <w:r w:rsidR="00FB5AD0" w:rsidRPr="00FB5AD0">
        <w:rPr>
          <w:rFonts w:eastAsia="Calibri" w:cs="Times New Roman"/>
          <w:color w:val="000000"/>
          <w:lang w:eastAsia="en-AU"/>
        </w:rPr>
        <w:t>.</w:t>
      </w:r>
    </w:p>
    <w:p w:rsidR="00FB5AD0" w:rsidRPr="00FB5AD0" w:rsidRDefault="00FB5AD0" w:rsidP="00FB5AD0">
      <w:pPr>
        <w:rPr>
          <w:rFonts w:eastAsia="Calibri" w:cs="Times New Roman"/>
          <w:color w:val="000000"/>
          <w:lang w:eastAsia="en-AU"/>
        </w:rPr>
      </w:pPr>
    </w:p>
    <w:p w:rsidR="00FB5AD0" w:rsidRPr="00FB5AD0" w:rsidRDefault="00FB5AD0" w:rsidP="00FB5AD0">
      <w:pPr>
        <w:rPr>
          <w:rFonts w:eastAsia="Calibri" w:cs="Times New Roman"/>
          <w:color w:val="000000"/>
          <w:lang w:eastAsia="en-AU"/>
        </w:rPr>
      </w:pPr>
      <w:r w:rsidRPr="00FB5AD0">
        <w:rPr>
          <w:rFonts w:eastAsia="Calibri" w:cs="Times New Roman"/>
          <w:color w:val="000000"/>
          <w:lang w:eastAsia="en-AU"/>
        </w:rPr>
        <w:t xml:space="preserve">The </w:t>
      </w:r>
      <w:r w:rsidR="008936E0">
        <w:rPr>
          <w:rFonts w:eastAsia="Calibri" w:cs="Times New Roman"/>
          <w:color w:val="000000"/>
          <w:lang w:eastAsia="en-AU"/>
        </w:rPr>
        <w:t xml:space="preserve">derived </w:t>
      </w:r>
      <w:r w:rsidRPr="00FB5AD0">
        <w:rPr>
          <w:rFonts w:eastAsia="Calibri" w:cs="Times New Roman"/>
          <w:color w:val="000000"/>
          <w:lang w:eastAsia="en-AU"/>
        </w:rPr>
        <w:t xml:space="preserve">variables </w:t>
      </w:r>
      <w:r w:rsidR="005B0B22">
        <w:rPr>
          <w:rFonts w:eastAsia="Calibri" w:cs="Times New Roman"/>
          <w:color w:val="000000"/>
          <w:lang w:eastAsia="en-AU"/>
        </w:rPr>
        <w:t>representing</w:t>
      </w:r>
      <w:r w:rsidR="008936E0">
        <w:rPr>
          <w:rFonts w:eastAsia="Calibri" w:cs="Times New Roman"/>
          <w:color w:val="000000"/>
          <w:lang w:eastAsia="en-AU"/>
        </w:rPr>
        <w:t xml:space="preserve"> the ‘gap</w:t>
      </w:r>
      <w:r w:rsidRPr="00FB5AD0">
        <w:rPr>
          <w:rFonts w:eastAsia="Calibri" w:cs="Times New Roman"/>
          <w:color w:val="000000"/>
          <w:lang w:eastAsia="en-AU"/>
        </w:rPr>
        <w:t>’ in these theoretical models are always complex</w:t>
      </w:r>
      <w:r w:rsidR="005B0B22">
        <w:rPr>
          <w:rFonts w:eastAsia="Calibri" w:cs="Times New Roman"/>
          <w:color w:val="000000"/>
          <w:lang w:eastAsia="en-AU"/>
        </w:rPr>
        <w:t>, diving deep into cognitive psychology</w:t>
      </w:r>
      <w:r w:rsidRPr="00FB5AD0">
        <w:rPr>
          <w:rFonts w:eastAsia="Calibri" w:cs="Times New Roman"/>
          <w:color w:val="000000"/>
          <w:lang w:eastAsia="en-AU"/>
        </w:rPr>
        <w:t xml:space="preserve">. </w:t>
      </w:r>
      <w:r w:rsidR="005B0B22">
        <w:rPr>
          <w:rFonts w:eastAsia="Calibri" w:cs="Times New Roman"/>
          <w:color w:val="000000"/>
          <w:lang w:eastAsia="en-AU"/>
        </w:rPr>
        <w:t>This certainly applies to</w:t>
      </w:r>
      <w:r w:rsidRPr="00FB5AD0">
        <w:rPr>
          <w:rFonts w:eastAsia="Calibri" w:cs="Times New Roman"/>
          <w:color w:val="000000"/>
          <w:lang w:eastAsia="en-AU"/>
        </w:rPr>
        <w:t xml:space="preserve"> expectations and feelings of entitlement. </w:t>
      </w:r>
      <w:r w:rsidR="005B0B22">
        <w:rPr>
          <w:rFonts w:eastAsia="Calibri" w:cs="Times New Roman"/>
          <w:color w:val="000000"/>
          <w:lang w:eastAsia="en-AU"/>
        </w:rPr>
        <w:t>Both</w:t>
      </w:r>
      <w:r w:rsidRPr="00FB5AD0">
        <w:rPr>
          <w:rFonts w:eastAsia="Calibri" w:cs="Times New Roman"/>
          <w:color w:val="000000"/>
          <w:lang w:eastAsia="en-AU"/>
        </w:rPr>
        <w:t xml:space="preserve"> are temporally-relevant, comparative, cognitive-affective variables. Expectations are based on past-experience, while feelings of entitlement are commonly based </w:t>
      </w:r>
      <w:r w:rsidRPr="00FB5AD0">
        <w:rPr>
          <w:rFonts w:eastAsia="Calibri" w:cs="Times New Roman"/>
          <w:color w:val="000000"/>
          <w:lang w:eastAsia="en-AU"/>
        </w:rPr>
        <w:lastRenderedPageBreak/>
        <w:t>on societal norms. Expectations may be acute (a happy birthday) or chronic (appropriate social interaction). Feelings of entitlement are more likely to be chronic. However, even if we simplify our focus to the chronic effects in relation to SWB, these variables remain far more complex than the established components of</w:t>
      </w:r>
      <w:r w:rsidR="00AA6497">
        <w:rPr>
          <w:rFonts w:eastAsia="Calibri" w:cs="Times New Roman"/>
          <w:color w:val="000000"/>
          <w:lang w:eastAsia="en-AU"/>
        </w:rPr>
        <w:t xml:space="preserve"> SWB research</w:t>
      </w:r>
      <w:r w:rsidR="00D4624B">
        <w:rPr>
          <w:rFonts w:eastAsia="Calibri" w:cs="Times New Roman"/>
          <w:color w:val="000000"/>
          <w:lang w:eastAsia="en-AU"/>
        </w:rPr>
        <w:t>,</w:t>
      </w:r>
      <w:r w:rsidR="00AA6497">
        <w:rPr>
          <w:rFonts w:eastAsia="Calibri" w:cs="Times New Roman"/>
          <w:color w:val="000000"/>
          <w:lang w:eastAsia="en-AU"/>
        </w:rPr>
        <w:t xml:space="preserve"> </w:t>
      </w:r>
      <w:r w:rsidR="002E1A59">
        <w:rPr>
          <w:rFonts w:eastAsia="Calibri" w:cs="Times New Roman"/>
          <w:color w:val="000000"/>
          <w:lang w:eastAsia="en-AU"/>
        </w:rPr>
        <w:t>which involve single</w:t>
      </w:r>
      <w:r w:rsidRPr="00FB5AD0">
        <w:rPr>
          <w:rFonts w:eastAsia="Calibri" w:cs="Times New Roman"/>
          <w:color w:val="000000"/>
          <w:lang w:eastAsia="en-AU"/>
        </w:rPr>
        <w:t xml:space="preserve"> </w:t>
      </w:r>
      <w:r w:rsidR="002E1A59">
        <w:rPr>
          <w:rFonts w:eastAsia="Calibri" w:cs="Times New Roman"/>
          <w:color w:val="000000"/>
          <w:lang w:eastAsia="en-AU"/>
        </w:rPr>
        <w:t>measured variables.</w:t>
      </w:r>
    </w:p>
    <w:p w:rsidR="00FB5AD0" w:rsidRPr="00FB5AD0" w:rsidRDefault="00FB5AD0" w:rsidP="00FB5AD0">
      <w:pPr>
        <w:rPr>
          <w:rFonts w:eastAsia="Calibri" w:cs="Times New Roman"/>
          <w:color w:val="000000"/>
          <w:lang w:eastAsia="en-AU"/>
        </w:rPr>
      </w:pPr>
    </w:p>
    <w:p w:rsidR="00FB5AD0" w:rsidRPr="00FB5AD0" w:rsidRDefault="002E1A59" w:rsidP="00FB5AD0">
      <w:pPr>
        <w:rPr>
          <w:rFonts w:eastAsia="Calibri" w:cs="Times New Roman"/>
          <w:color w:val="000000"/>
          <w:lang w:eastAsia="en-AU"/>
        </w:rPr>
      </w:pPr>
      <w:r>
        <w:rPr>
          <w:rFonts w:eastAsia="Calibri" w:cs="Times New Roman"/>
          <w:color w:val="000000"/>
          <w:lang w:eastAsia="en-AU"/>
        </w:rPr>
        <w:t>Not only is a</w:t>
      </w:r>
      <w:r w:rsidR="00FB5AD0" w:rsidRPr="00FB5AD0">
        <w:rPr>
          <w:rFonts w:eastAsia="Calibri" w:cs="Times New Roman"/>
          <w:color w:val="000000"/>
          <w:lang w:eastAsia="en-AU"/>
        </w:rPr>
        <w:t xml:space="preserve"> ‘gap’ </w:t>
      </w:r>
      <w:r w:rsidR="001B7C40">
        <w:rPr>
          <w:rFonts w:eastAsia="Calibri" w:cs="Times New Roman"/>
          <w:color w:val="000000"/>
          <w:lang w:eastAsia="en-AU"/>
        </w:rPr>
        <w:t>variable</w:t>
      </w:r>
      <w:r w:rsidR="00C02D3C">
        <w:rPr>
          <w:rFonts w:eastAsia="Calibri" w:cs="Times New Roman"/>
          <w:color w:val="000000"/>
          <w:lang w:eastAsia="en-AU"/>
        </w:rPr>
        <w:t xml:space="preserve"> derived from two measured variables, but also from their interaction. For example, </w:t>
      </w:r>
      <w:r w:rsidR="00FB5AD0" w:rsidRPr="00FB5AD0">
        <w:rPr>
          <w:rFonts w:eastAsia="Calibri" w:cs="Times New Roman"/>
          <w:color w:val="000000"/>
          <w:lang w:eastAsia="en-AU"/>
        </w:rPr>
        <w:t xml:space="preserve">we might ask ‘How contented would you like to be?’ and ‘How contented are you right now?’ </w:t>
      </w:r>
      <w:r w:rsidR="00C02D3C">
        <w:rPr>
          <w:rFonts w:eastAsia="Calibri" w:cs="Times New Roman"/>
          <w:color w:val="000000"/>
          <w:lang w:eastAsia="en-AU"/>
        </w:rPr>
        <w:t>The</w:t>
      </w:r>
      <w:r w:rsidR="00FB5AD0" w:rsidRPr="00FB5AD0">
        <w:rPr>
          <w:rFonts w:eastAsia="Calibri" w:cs="Times New Roman"/>
          <w:color w:val="000000"/>
          <w:lang w:eastAsia="en-AU"/>
        </w:rPr>
        <w:t xml:space="preserve"> ‘gap’ variable is a ratio between them,</w:t>
      </w:r>
      <w:r w:rsidR="00C02D3C">
        <w:rPr>
          <w:rFonts w:eastAsia="Calibri" w:cs="Times New Roman"/>
          <w:color w:val="000000"/>
          <w:lang w:eastAsia="en-AU"/>
        </w:rPr>
        <w:t xml:space="preserve"> representing their interaction</w:t>
      </w:r>
      <w:r w:rsidR="00FB5AD0" w:rsidRPr="00FB5AD0">
        <w:rPr>
          <w:rFonts w:eastAsia="Calibri" w:cs="Times New Roman"/>
          <w:color w:val="000000"/>
          <w:lang w:eastAsia="en-AU"/>
        </w:rPr>
        <w:t xml:space="preserve">, </w:t>
      </w:r>
      <w:r w:rsidR="00C02D3C">
        <w:rPr>
          <w:rFonts w:eastAsia="Calibri" w:cs="Times New Roman"/>
          <w:color w:val="000000"/>
          <w:lang w:eastAsia="en-AU"/>
        </w:rPr>
        <w:t xml:space="preserve">and </w:t>
      </w:r>
      <w:r w:rsidR="00FB5AD0" w:rsidRPr="00FB5AD0">
        <w:rPr>
          <w:rFonts w:eastAsia="Calibri" w:cs="Times New Roman"/>
          <w:color w:val="000000"/>
          <w:lang w:eastAsia="en-AU"/>
        </w:rPr>
        <w:t xml:space="preserve">this interaction may well change with the absolute level of each measured variable. Such complexity </w:t>
      </w:r>
      <w:r w:rsidR="00683145">
        <w:rPr>
          <w:rFonts w:eastAsia="Calibri" w:cs="Times New Roman"/>
          <w:color w:val="000000"/>
          <w:lang w:eastAsia="en-AU"/>
        </w:rPr>
        <w:t xml:space="preserve">requires </w:t>
      </w:r>
      <w:r w:rsidR="00AA6497">
        <w:rPr>
          <w:rFonts w:eastAsia="Calibri" w:cs="Times New Roman"/>
          <w:color w:val="000000"/>
          <w:lang w:eastAsia="en-AU"/>
        </w:rPr>
        <w:t>multi-variable</w:t>
      </w:r>
      <w:r w:rsidR="00683145">
        <w:rPr>
          <w:rFonts w:eastAsia="Calibri" w:cs="Times New Roman"/>
          <w:color w:val="000000"/>
          <w:lang w:eastAsia="en-AU"/>
        </w:rPr>
        <w:t xml:space="preserve"> modelling </w:t>
      </w:r>
      <w:r w:rsidR="00AA6497">
        <w:rPr>
          <w:rFonts w:eastAsia="Calibri" w:cs="Times New Roman"/>
          <w:color w:val="000000"/>
          <w:lang w:eastAsia="en-AU"/>
        </w:rPr>
        <w:t xml:space="preserve">in order </w:t>
      </w:r>
      <w:r w:rsidR="00683145">
        <w:rPr>
          <w:rFonts w:eastAsia="Calibri" w:cs="Times New Roman"/>
          <w:color w:val="000000"/>
          <w:lang w:eastAsia="en-AU"/>
        </w:rPr>
        <w:t>to validly represent the</w:t>
      </w:r>
      <w:r w:rsidR="00C02D3C">
        <w:rPr>
          <w:rFonts w:eastAsia="Calibri" w:cs="Times New Roman"/>
          <w:color w:val="000000"/>
          <w:lang w:eastAsia="en-AU"/>
        </w:rPr>
        <w:t xml:space="preserve"> nature of the</w:t>
      </w:r>
      <w:r w:rsidR="00683145">
        <w:rPr>
          <w:rFonts w:eastAsia="Calibri" w:cs="Times New Roman"/>
          <w:color w:val="000000"/>
          <w:lang w:eastAsia="en-AU"/>
        </w:rPr>
        <w:t xml:space="preserve"> </w:t>
      </w:r>
      <w:r w:rsidR="00C02D3C">
        <w:rPr>
          <w:rFonts w:eastAsia="Calibri" w:cs="Times New Roman"/>
          <w:color w:val="000000"/>
          <w:lang w:eastAsia="en-AU"/>
        </w:rPr>
        <w:t>derived ‘gap</w:t>
      </w:r>
      <w:r w:rsidR="00683145">
        <w:rPr>
          <w:rFonts w:eastAsia="Calibri" w:cs="Times New Roman"/>
          <w:color w:val="000000"/>
          <w:lang w:eastAsia="en-AU"/>
        </w:rPr>
        <w:t xml:space="preserve">. Simply forming a ratio between ‘like to be’ and ‘right now’ is far too simplistic and, when used as a predicted source of variance, will almost certainly </w:t>
      </w:r>
      <w:r w:rsidR="00FB5AD0" w:rsidRPr="00FB5AD0">
        <w:rPr>
          <w:rFonts w:eastAsia="Calibri" w:cs="Times New Roman"/>
          <w:color w:val="000000"/>
          <w:lang w:eastAsia="en-AU"/>
        </w:rPr>
        <w:t>produce unreliable and weak results.</w:t>
      </w:r>
    </w:p>
    <w:p w:rsidR="00FB5AD0" w:rsidRPr="00FB5AD0" w:rsidRDefault="00FB5AD0" w:rsidP="00FB5AD0">
      <w:pPr>
        <w:rPr>
          <w:rFonts w:eastAsia="Calibri" w:cs="Times New Roman"/>
          <w:color w:val="000000"/>
          <w:lang w:eastAsia="en-AU"/>
        </w:rPr>
      </w:pPr>
    </w:p>
    <w:p w:rsidR="00FB5AD0" w:rsidRPr="00FB5AD0" w:rsidRDefault="00FB5AD0" w:rsidP="00FB5AD0">
      <w:pPr>
        <w:rPr>
          <w:rFonts w:eastAsia="Calibri" w:cs="Times New Roman"/>
          <w:color w:val="000000"/>
          <w:lang w:eastAsia="en-AU"/>
        </w:rPr>
      </w:pPr>
      <w:r w:rsidRPr="00FB5AD0">
        <w:rPr>
          <w:rFonts w:eastAsia="Calibri" w:cs="Times New Roman"/>
          <w:color w:val="000000"/>
          <w:lang w:eastAsia="en-AU"/>
        </w:rPr>
        <w:t xml:space="preserve">This prediction is supported in relation to empirical investigations of Multiple Discrepancies Theory </w:t>
      </w:r>
      <w:r w:rsidRPr="00FB5AD0">
        <w:rPr>
          <w:rFonts w:eastAsia="Calibri" w:cs="Times New Roman"/>
          <w:color w:val="000000"/>
          <w:lang w:eastAsia="en-AU"/>
        </w:rPr>
        <w:fldChar w:fldCharType="begin"/>
      </w:r>
      <w:r w:rsidRPr="00FB5AD0">
        <w:rPr>
          <w:rFonts w:eastAsia="Calibri" w:cs="Times New Roman"/>
          <w:color w:val="000000"/>
          <w:lang w:eastAsia="en-AU"/>
        </w:rPr>
        <w:instrText xml:space="preserve"> ADDIN EN.CITE &lt;EndNote&gt;&lt;Cite&gt;&lt;Author&gt;Michalos&lt;/Author&gt;&lt;Year&gt;1985&lt;/Year&gt;&lt;RecNum&gt;498&lt;/RecNum&gt;&lt;Prefix&gt;MDT: &lt;/Prefix&gt;&lt;DisplayText&gt;(MDT: Michalos, 1985)&lt;/DisplayText&gt;&lt;record&gt;&lt;rec-number&gt;498&lt;/rec-number&gt;&lt;foreign-keys&gt;&lt;key app="EN" db-id="z2xarpe9cfrvp4ezdxk5ddx9dsrzr05f22sa" timestamp="1343947764"&gt;498&lt;/key&gt;&lt;/foreign-keys&gt;&lt;ref-type name="Journal Article"&gt;17&lt;/ref-type&gt;&lt;contributors&gt;&lt;authors&gt;&lt;author&gt;Michalos, A. C.&lt;/author&gt;&lt;/authors&gt;&lt;/contributors&gt;&lt;titles&gt;&lt;title&gt;Multiple Discrepancies Theory (MDT)&lt;/title&gt;&lt;secondary-title&gt;Social Indicators Research&lt;/secondary-title&gt;&lt;/titles&gt;&lt;periodical&gt;&lt;full-title&gt;Social Indicators Research&lt;/full-title&gt;&lt;/periodical&gt;&lt;pages&gt;347-413&lt;/pages&gt;&lt;volume&gt;16&lt;/volume&gt;&lt;dates&gt;&lt;year&gt;1985&lt;/year&gt;&lt;/dates&gt;&lt;urls&gt;&lt;/urls&gt;&lt;/record&gt;&lt;/Cite&gt;&lt;/EndNote&gt;</w:instrText>
      </w:r>
      <w:r w:rsidRPr="00FB5AD0">
        <w:rPr>
          <w:rFonts w:eastAsia="Calibri" w:cs="Times New Roman"/>
          <w:color w:val="000000"/>
          <w:lang w:eastAsia="en-AU"/>
        </w:rPr>
        <w:fldChar w:fldCharType="separate"/>
      </w:r>
      <w:r w:rsidRPr="00FB5AD0">
        <w:rPr>
          <w:rFonts w:eastAsia="Calibri" w:cs="Times New Roman"/>
          <w:color w:val="000000"/>
          <w:lang w:eastAsia="en-AU"/>
        </w:rPr>
        <w:t>(MDT: Michalos, 1985)</w:t>
      </w:r>
      <w:r w:rsidRPr="00FB5AD0">
        <w:rPr>
          <w:rFonts w:eastAsia="Calibri" w:cs="Times New Roman"/>
          <w:color w:val="000000"/>
          <w:lang w:eastAsia="en-AU"/>
        </w:rPr>
        <w:fldChar w:fldCharType="end"/>
      </w:r>
      <w:r w:rsidRPr="00FB5AD0">
        <w:rPr>
          <w:rFonts w:eastAsia="Calibri" w:cs="Times New Roman"/>
          <w:color w:val="000000"/>
          <w:lang w:eastAsia="en-AU"/>
        </w:rPr>
        <w:t>. This asserts that SWB is a function of perceived discrepancies between: what someone has and wants, feels they deserve and need, what relevant others have, what one expects to have, the best one had in the past and the best one expects to have in the future. This</w:t>
      </w:r>
      <w:r w:rsidR="00AA6497">
        <w:rPr>
          <w:rFonts w:eastAsia="Calibri" w:cs="Times New Roman"/>
          <w:color w:val="000000"/>
          <w:lang w:eastAsia="en-AU"/>
        </w:rPr>
        <w:t xml:space="preserve"> gap-model</w:t>
      </w:r>
      <w:r w:rsidRPr="00FB5AD0">
        <w:rPr>
          <w:rFonts w:eastAsia="Calibri" w:cs="Times New Roman"/>
          <w:color w:val="000000"/>
          <w:lang w:eastAsia="en-AU"/>
        </w:rPr>
        <w:t xml:space="preserve"> was tested by </w:t>
      </w:r>
      <w:r w:rsidRPr="00FB5AD0">
        <w:rPr>
          <w:rFonts w:eastAsia="Calibri" w:cs="Times New Roman"/>
          <w:color w:val="000000"/>
          <w:lang w:eastAsia="en-AU"/>
        </w:rPr>
        <w:fldChar w:fldCharType="begin"/>
      </w:r>
      <w:r w:rsidR="003C37DF">
        <w:rPr>
          <w:rFonts w:eastAsia="Calibri" w:cs="Times New Roman"/>
          <w:color w:val="000000"/>
          <w:lang w:eastAsia="en-AU"/>
        </w:rPr>
        <w:instrText xml:space="preserve"> ADDIN EN.CITE &lt;EndNote&gt;&lt;Cite AuthorYear="1"&gt;&lt;Author&gt;Davern&lt;/Author&gt;&lt;Year&gt;2007&lt;/Year&gt;&lt;RecNum&gt;312&lt;/RecNum&gt;&lt;DisplayText&gt;Davern et al. (2007)&lt;/DisplayText&gt;&lt;record&gt;&lt;rec-number&gt;312&lt;/rec-number&gt;&lt;foreign-keys&gt;&lt;key app="EN" db-id="z2xarpe9cfrvp4ezdxk5ddx9dsrzr05f22sa" timestamp="1343947741"&gt;312&lt;/key&gt;&lt;/foreign-keys&gt;&lt;ref-type name="Journal Article"&gt;17&lt;/ref-type&gt;&lt;contributors&gt;&lt;authors&gt;&lt;author&gt;Davern, M.&lt;/author&gt;&lt;author&gt;Cummins, R. A.&lt;/author&gt;&lt;author&gt;Stokes, M.&lt;/author&gt;&lt;/authors&gt;&lt;/contributors&gt;&lt;titles&gt;&lt;title&gt;Subjective wellbeing as an affective/cognitive construct&lt;/title&gt;&lt;secondary-title&gt;Journal of Happiness Studies&lt;/secondary-title&gt;&lt;/titles&gt;&lt;periodical&gt;&lt;full-title&gt;Journal of Happiness Studies&lt;/full-title&gt;&lt;/periodical&gt;&lt;pages&gt;429-449&lt;/pages&gt;&lt;volume&gt;8&lt;/volume&gt;&lt;number&gt;4&lt;/number&gt;&lt;dates&gt;&lt;year&gt;2007&lt;/year&gt;&lt;/dates&gt;&lt;urls&gt;&lt;/urls&gt;&lt;electronic-resource-num&gt;10.1007/s10902-007-9066-1&lt;/electronic-resource-num&gt;&lt;/record&gt;&lt;/Cite&gt;&lt;/EndNote&gt;</w:instrText>
      </w:r>
      <w:r w:rsidRPr="00FB5AD0">
        <w:rPr>
          <w:rFonts w:eastAsia="Calibri" w:cs="Times New Roman"/>
          <w:color w:val="000000"/>
          <w:lang w:eastAsia="en-AU"/>
        </w:rPr>
        <w:fldChar w:fldCharType="separate"/>
      </w:r>
      <w:r w:rsidR="003C37DF">
        <w:rPr>
          <w:rFonts w:eastAsia="Calibri" w:cs="Times New Roman"/>
          <w:noProof/>
          <w:color w:val="000000"/>
          <w:lang w:eastAsia="en-AU"/>
        </w:rPr>
        <w:t>Davern et al. (2007)</w:t>
      </w:r>
      <w:r w:rsidRPr="00FB5AD0">
        <w:rPr>
          <w:rFonts w:eastAsia="Calibri" w:cs="Times New Roman"/>
          <w:color w:val="000000"/>
          <w:lang w:eastAsia="en-AU"/>
        </w:rPr>
        <w:fldChar w:fldCharType="end"/>
      </w:r>
      <w:r w:rsidRPr="00FB5AD0">
        <w:rPr>
          <w:rFonts w:eastAsia="Calibri" w:cs="Times New Roman"/>
          <w:color w:val="000000"/>
          <w:lang w:eastAsia="en-AU"/>
        </w:rPr>
        <w:t xml:space="preserve"> who used structural modelling to predict SWB by a combination of personality, MDT, and HPMood. They found the strongest predictor </w:t>
      </w:r>
      <w:r w:rsidR="00AA6497">
        <w:rPr>
          <w:rFonts w:eastAsia="Calibri" w:cs="Times New Roman"/>
          <w:color w:val="000000"/>
          <w:lang w:eastAsia="en-AU"/>
        </w:rPr>
        <w:t>to be</w:t>
      </w:r>
      <w:r w:rsidRPr="00FB5AD0">
        <w:rPr>
          <w:rFonts w:eastAsia="Calibri" w:cs="Times New Roman"/>
          <w:color w:val="000000"/>
          <w:lang w:eastAsia="en-AU"/>
        </w:rPr>
        <w:t xml:space="preserve"> HPMood, followed by MDT, with personality making a minor contribution. Similar</w:t>
      </w:r>
      <w:r w:rsidR="00AA6497">
        <w:rPr>
          <w:rFonts w:eastAsia="Calibri" w:cs="Times New Roman"/>
          <w:color w:val="000000"/>
          <w:lang w:eastAsia="en-AU"/>
        </w:rPr>
        <w:t>ly designed,</w:t>
      </w:r>
      <w:r w:rsidRPr="00FB5AD0">
        <w:rPr>
          <w:rFonts w:eastAsia="Calibri" w:cs="Times New Roman"/>
          <w:color w:val="000000"/>
          <w:lang w:eastAsia="en-AU"/>
        </w:rPr>
        <w:t xml:space="preserve"> follow-up studies </w:t>
      </w:r>
      <w:r w:rsidRPr="00FB5AD0">
        <w:rPr>
          <w:rFonts w:eastAsia="Calibri" w:cs="Times New Roman"/>
          <w:color w:val="000000"/>
          <w:lang w:eastAsia="en-AU"/>
        </w:rPr>
        <w:fldChar w:fldCharType="begin"/>
      </w:r>
      <w:r w:rsidRPr="00FB5AD0">
        <w:rPr>
          <w:rFonts w:eastAsia="Calibri" w:cs="Times New Roman"/>
          <w:color w:val="000000"/>
          <w:lang w:eastAsia="en-AU"/>
        </w:rPr>
        <w:instrText xml:space="preserve"> ADDIN EN.CITE &lt;EndNote&gt;&lt;Cite&gt;&lt;Author&gt;Tomyn&lt;/Author&gt;&lt;Year&gt;2011a&lt;/Year&gt;&lt;RecNum&gt;563&lt;/RecNum&gt;&lt;DisplayText&gt;(Blore, Stokes, Mellor, Firth, &amp;amp; Cummins, 2011; Tomyn &amp;amp; Cummins, 2011a)&lt;/DisplayText&gt;&lt;record&gt;&lt;rec-number&gt;563&lt;/rec-number&gt;&lt;foreign-keys&gt;&lt;key app="EN" db-id="z2xarpe9cfrvp4ezdxk5ddx9dsrzr05f22sa" timestamp="1343947765"&gt;563&lt;/key&gt;&lt;/foreign-keys&gt;&lt;ref-type name="Journal Article"&gt;17&lt;/ref-type&gt;&lt;contributors&gt;&lt;authors&gt;&lt;author&gt;Tomyn, A. J.&lt;/author&gt;&lt;author&gt;Cummins, R. A.&lt;/author&gt;&lt;/authors&gt;&lt;/contributors&gt;&lt;titles&gt;&lt;title&gt;Subjective wellbeing and homeostatically protected mood: Theory validation with adolescents&lt;/title&gt;&lt;secondary-title&gt;Journal of Happiness Studies&lt;/secondary-title&gt;&lt;/titles&gt;&lt;periodical&gt;&lt;full-title&gt;Journal of Happiness Studies&lt;/full-title&gt;&lt;/periodical&gt;&lt;pages&gt;897-914&lt;/pages&gt;&lt;volume&gt;12&lt;/volume&gt;&lt;number&gt;5&lt;/number&gt;&lt;dates&gt;&lt;year&gt;2011a&lt;/year&gt;&lt;/dates&gt;&lt;urls&gt;&lt;/urls&gt;&lt;electronic-resource-num&gt;10.1007/s10902-010-9235-5&lt;/electronic-resource-num&gt;&lt;/record&gt;&lt;/Cite&gt;&lt;Cite&gt;&lt;Author&gt;Blore&lt;/Author&gt;&lt;Year&gt;2011&lt;/Year&gt;&lt;RecNum&gt;123&lt;/RecNum&gt;&lt;record&gt;&lt;rec-number&gt;123&lt;/rec-number&gt;&lt;foreign-keys&gt;&lt;key app="EN" db-id="z2xarpe9cfrvp4ezdxk5ddx9dsrzr05f22sa" timestamp="1343947676"&gt;123&lt;/key&gt;&lt;/foreign-keys&gt;&lt;ref-type name="Journal Article"&gt;17&lt;/ref-type&gt;&lt;contributors&gt;&lt;authors&gt;&lt;author&gt;Blore, J. D.&lt;/author&gt;&lt;author&gt;Stokes, M. A.&lt;/author&gt;&lt;author&gt;Mellor, D.&lt;/author&gt;&lt;author&gt;Firth, L.&lt;/author&gt;&lt;author&gt;Cummins, R. A.&lt;/author&gt;&lt;/authors&gt;&lt;/contributors&gt;&lt;titles&gt;&lt;title&gt;Comparing multiple discrepancies theory to affective models of subjective wellbeing&lt;/title&gt;&lt;secondary-title&gt;Social Indicators Research&lt;/secondary-title&gt;&lt;/titles&gt;&lt;periodical&gt;&lt;full-title&gt;Social Indicators Research&lt;/full-title&gt;&lt;/periodical&gt;&lt;pages&gt;1-16&lt;/pages&gt;&lt;volume&gt;100&lt;/volume&gt;&lt;number&gt;1&lt;/number&gt;&lt;dates&gt;&lt;year&gt;2011&lt;/year&gt;&lt;/dates&gt;&lt;urls&gt;&lt;/urls&gt;&lt;electronic-resource-num&gt;10.1007/s11205-010-9599-2&lt;/electronic-resource-num&gt;&lt;/record&gt;&lt;/Cite&gt;&lt;/EndNote&gt;</w:instrText>
      </w:r>
      <w:r w:rsidRPr="00FB5AD0">
        <w:rPr>
          <w:rFonts w:eastAsia="Calibri" w:cs="Times New Roman"/>
          <w:color w:val="000000"/>
          <w:lang w:eastAsia="en-AU"/>
        </w:rPr>
        <w:fldChar w:fldCharType="separate"/>
      </w:r>
      <w:r w:rsidRPr="00FB5AD0">
        <w:rPr>
          <w:rFonts w:eastAsia="Calibri" w:cs="Times New Roman"/>
          <w:color w:val="000000"/>
          <w:lang w:eastAsia="en-AU"/>
        </w:rPr>
        <w:t>(Blore, Stokes, Mellor, Firth, &amp; Cummins, 2011; Tomyn &amp; Cummins, 2011a)</w:t>
      </w:r>
      <w:r w:rsidRPr="00FB5AD0">
        <w:rPr>
          <w:rFonts w:eastAsia="Calibri" w:cs="Times New Roman"/>
          <w:color w:val="000000"/>
          <w:lang w:eastAsia="en-AU"/>
        </w:rPr>
        <w:fldChar w:fldCharType="end"/>
      </w:r>
      <w:r w:rsidRPr="00FB5AD0">
        <w:rPr>
          <w:rFonts w:eastAsia="Calibri" w:cs="Times New Roman"/>
          <w:color w:val="000000"/>
          <w:lang w:eastAsia="en-AU"/>
        </w:rPr>
        <w:t xml:space="preserve"> reported that MDT made no significant contribution to SWB after the variance supplied by HPMood had been accounted for. </w:t>
      </w:r>
    </w:p>
    <w:p w:rsidR="00FB5AD0" w:rsidRPr="00FB5AD0" w:rsidRDefault="00FB5AD0" w:rsidP="00FB5AD0">
      <w:pPr>
        <w:rPr>
          <w:rFonts w:eastAsia="Calibri" w:cs="Times New Roman"/>
          <w:color w:val="000000"/>
          <w:lang w:eastAsia="en-AU"/>
        </w:rPr>
      </w:pPr>
    </w:p>
    <w:p w:rsidR="0006399A" w:rsidRPr="00FB5AD0" w:rsidRDefault="00FB5AD0" w:rsidP="0006399A">
      <w:pPr>
        <w:rPr>
          <w:rFonts w:eastAsia="Calibri" w:cs="Times New Roman"/>
          <w:color w:val="000000"/>
          <w:lang w:eastAsia="en-AU"/>
        </w:rPr>
      </w:pPr>
      <w:r w:rsidRPr="00FB5AD0">
        <w:rPr>
          <w:rFonts w:eastAsia="Calibri" w:cs="Times New Roman"/>
          <w:color w:val="000000"/>
          <w:lang w:eastAsia="en-AU"/>
        </w:rPr>
        <w:t>My conclusion is that</w:t>
      </w:r>
      <w:r w:rsidR="00532EEF" w:rsidRPr="00532EEF">
        <w:rPr>
          <w:rFonts w:eastAsia="Calibri" w:cs="Times New Roman"/>
          <w:i/>
          <w:color w:val="000000"/>
          <w:lang w:eastAsia="en-AU"/>
        </w:rPr>
        <w:t xml:space="preserve"> expectations and feelings of entitlement</w:t>
      </w:r>
      <w:r w:rsidRPr="00FB5AD0">
        <w:rPr>
          <w:rFonts w:eastAsia="Calibri" w:cs="Times New Roman"/>
          <w:color w:val="000000"/>
          <w:lang w:eastAsia="en-AU"/>
        </w:rPr>
        <w:t xml:space="preserve"> </w:t>
      </w:r>
      <w:r w:rsidR="00532EEF">
        <w:rPr>
          <w:rFonts w:eastAsia="Calibri" w:cs="Times New Roman"/>
          <w:color w:val="000000"/>
          <w:lang w:eastAsia="en-AU"/>
        </w:rPr>
        <w:t xml:space="preserve">may well play a significant role in understanding the forces impinging on </w:t>
      </w:r>
      <w:r w:rsidRPr="00FB5AD0">
        <w:rPr>
          <w:rFonts w:eastAsia="Calibri" w:cs="Times New Roman"/>
          <w:color w:val="000000"/>
          <w:lang w:eastAsia="en-AU"/>
        </w:rPr>
        <w:t>SWB</w:t>
      </w:r>
      <w:r w:rsidR="00532EEF">
        <w:rPr>
          <w:rFonts w:eastAsia="Calibri" w:cs="Times New Roman"/>
          <w:color w:val="000000"/>
          <w:lang w:eastAsia="en-AU"/>
        </w:rPr>
        <w:t>. However to discover the true role of these and other ‘gap’ variables, advanced modelling techniques applicable to cognitive psychology are required.</w:t>
      </w:r>
      <w:r w:rsidRPr="00FB5AD0">
        <w:rPr>
          <w:rFonts w:eastAsia="Calibri" w:cs="Times New Roman"/>
          <w:color w:val="000000"/>
          <w:lang w:eastAsia="en-AU"/>
        </w:rPr>
        <w:t xml:space="preserve"> </w:t>
      </w:r>
    </w:p>
    <w:p w:rsidR="0006399A" w:rsidRPr="00BB5D46" w:rsidRDefault="0006399A" w:rsidP="0006399A">
      <w:pPr>
        <w:jc w:val="center"/>
        <w:rPr>
          <w:rFonts w:eastAsia="Arial" w:cs="Times New Roman"/>
          <w:i/>
        </w:rPr>
      </w:pPr>
    </w:p>
    <w:p w:rsidR="0006399A" w:rsidRPr="00BB5D46" w:rsidRDefault="0006399A" w:rsidP="0006399A">
      <w:pPr>
        <w:jc w:val="center"/>
        <w:rPr>
          <w:rFonts w:eastAsia="Arial" w:cs="Times New Roman"/>
          <w:i/>
        </w:rPr>
      </w:pPr>
      <w:r w:rsidRPr="00BB5D46">
        <w:rPr>
          <w:rFonts w:eastAsia="Arial" w:cs="Times New Roman"/>
          <w:i/>
        </w:rPr>
        <w:t xml:space="preserve">Further discussion of </w:t>
      </w:r>
      <w:r w:rsidR="00FB5AD0">
        <w:rPr>
          <w:rFonts w:eastAsia="Arial" w:cs="Times New Roman"/>
          <w:i/>
        </w:rPr>
        <w:t>this topic,</w:t>
      </w:r>
      <w:r w:rsidRPr="00BB5D46">
        <w:rPr>
          <w:rFonts w:eastAsia="Arial" w:cs="Times New Roman"/>
          <w:i/>
        </w:rPr>
        <w:t xml:space="preserve"> for circulation to members, is invited. Send to: </w:t>
      </w:r>
      <w:hyperlink r:id="rId158" w:history="1">
        <w:r w:rsidRPr="00BB5D46">
          <w:rPr>
            <w:rFonts w:eastAsia="Arial" w:cs="Times New Roman"/>
            <w:i/>
            <w:color w:val="0563C1"/>
            <w:u w:val="single"/>
          </w:rPr>
          <w:t>robert.cummins@deakin.edu.au</w:t>
        </w:r>
      </w:hyperlink>
    </w:p>
    <w:p w:rsidR="0006399A" w:rsidRPr="00BB5D46" w:rsidRDefault="0006399A" w:rsidP="0006399A">
      <w:pPr>
        <w:jc w:val="center"/>
        <w:rPr>
          <w:rFonts w:eastAsia="Arial" w:cs="Times New Roman"/>
          <w:i/>
        </w:rPr>
      </w:pPr>
      <w:r w:rsidRPr="00BB5D46">
        <w:rPr>
          <w:rFonts w:eastAsia="Arial" w:cs="Times New Roman"/>
          <w:i/>
        </w:rPr>
        <w:t xml:space="preserve">Substantive comments received by midnight on </w:t>
      </w:r>
      <w:r w:rsidRPr="00FB5AD0">
        <w:rPr>
          <w:rFonts w:eastAsia="Arial" w:cs="Times New Roman"/>
          <w:i/>
        </w:rPr>
        <w:t xml:space="preserve">Monday </w:t>
      </w:r>
      <w:r w:rsidR="00FB5AD0" w:rsidRPr="00FB5AD0">
        <w:rPr>
          <w:rFonts w:eastAsia="Arial" w:cs="Times New Roman"/>
          <w:i/>
        </w:rPr>
        <w:t>19</w:t>
      </w:r>
      <w:r w:rsidR="00FB5AD0" w:rsidRPr="00FB5AD0">
        <w:rPr>
          <w:rFonts w:eastAsia="Arial" w:cs="Times New Roman"/>
          <w:i/>
          <w:vertAlign w:val="superscript"/>
        </w:rPr>
        <w:t>th</w:t>
      </w:r>
      <w:r w:rsidR="00FB5AD0" w:rsidRPr="00FB5AD0">
        <w:rPr>
          <w:rFonts w:eastAsia="Arial" w:cs="Times New Roman"/>
          <w:i/>
        </w:rPr>
        <w:t xml:space="preserve"> August</w:t>
      </w:r>
      <w:r w:rsidRPr="00FB5AD0">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06399A" w:rsidRPr="00BB5D46" w:rsidRDefault="0006399A" w:rsidP="0006399A">
      <w:pPr>
        <w:jc w:val="center"/>
        <w:rPr>
          <w:rFonts w:eastAsia="Arial" w:cs="Times New Roman"/>
          <w:i/>
        </w:rPr>
      </w:pPr>
    </w:p>
    <w:p w:rsidR="0006399A" w:rsidRPr="00294DBE" w:rsidRDefault="0006399A" w:rsidP="00294DBE">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w:t>
      </w:r>
      <w:r w:rsidR="00FB5AD0">
        <w:rPr>
          <w:rFonts w:eastAsia="Arial" w:cs="Times New Roman"/>
          <w:i/>
        </w:rPr>
        <w:t>, queries or comments,</w:t>
      </w:r>
      <w:r w:rsidRPr="00BB5D46">
        <w:rPr>
          <w:rFonts w:eastAsia="Arial" w:cs="Times New Roman"/>
          <w:i/>
        </w:rPr>
        <w:t xml:space="preserve"> on the topic of life quality, for distribution and discussion by members under these same conditions.</w:t>
      </w:r>
    </w:p>
    <w:p w:rsidR="0006399A" w:rsidRPr="00BB5D46" w:rsidRDefault="0006399A" w:rsidP="0006399A">
      <w:pPr>
        <w:jc w:val="center"/>
        <w:rPr>
          <w:rFonts w:eastAsia="Calibri" w:cs="Times New Roman"/>
          <w:i/>
          <w:szCs w:val="22"/>
        </w:rPr>
      </w:pPr>
    </w:p>
    <w:p w:rsidR="0006399A" w:rsidRDefault="0006399A" w:rsidP="0006399A">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06399A" w:rsidRPr="00BB5D46" w:rsidRDefault="0006399A" w:rsidP="0006399A">
      <w:pPr>
        <w:jc w:val="center"/>
        <w:rPr>
          <w:rFonts w:eastAsia="Arial" w:cs="Times New Roman"/>
          <w:i/>
          <w:sz w:val="22"/>
          <w:szCs w:val="22"/>
        </w:rPr>
      </w:pPr>
      <w:r w:rsidRPr="00BB5D46">
        <w:rPr>
          <w:rFonts w:eastAsia="Arial" w:cs="Times New Roman"/>
          <w:i/>
          <w:sz w:val="22"/>
          <w:szCs w:val="22"/>
        </w:rPr>
        <w:t>Iestyn Polley &lt;iestyn.polley@deakin.edu.au&gt;</w:t>
      </w:r>
    </w:p>
    <w:p w:rsidR="0006399A" w:rsidRPr="00BB5D46" w:rsidRDefault="0006399A" w:rsidP="0006399A">
      <w:pPr>
        <w:jc w:val="center"/>
        <w:rPr>
          <w:rFonts w:eastAsia="Arial" w:cs="Times New Roman"/>
          <w:i/>
          <w:sz w:val="22"/>
          <w:szCs w:val="22"/>
        </w:rPr>
      </w:pPr>
      <w:r w:rsidRPr="00BB5D46">
        <w:rPr>
          <w:rFonts w:eastAsia="Arial" w:cs="Times New Roman"/>
          <w:i/>
          <w:sz w:val="22"/>
          <w:szCs w:val="22"/>
        </w:rPr>
        <w:t>Executive Web Developer</w:t>
      </w:r>
    </w:p>
    <w:p w:rsidR="000A6964" w:rsidRDefault="00551B77" w:rsidP="00844DEF">
      <w:pPr>
        <w:rPr>
          <w:rFonts w:cstheme="majorBidi"/>
          <w:bCs/>
        </w:rPr>
      </w:pPr>
      <w:r w:rsidRPr="00551B77">
        <w:rPr>
          <w:rFonts w:cstheme="majorBidi"/>
          <w:bCs/>
          <w:i/>
          <w:u w:val="single"/>
        </w:rPr>
        <w:t>Cummins comments</w:t>
      </w:r>
      <w:r w:rsidRPr="00551B77">
        <w:rPr>
          <w:rFonts w:cstheme="majorBidi"/>
          <w:bCs/>
        </w:rPr>
        <w:t>:</w:t>
      </w:r>
      <w:r>
        <w:rPr>
          <w:rFonts w:cstheme="majorBidi"/>
          <w:bCs/>
        </w:rPr>
        <w:t xml:space="preserve"> </w:t>
      </w:r>
      <w:r w:rsidR="000A6964">
        <w:rPr>
          <w:rFonts w:cstheme="majorBidi"/>
          <w:bCs/>
        </w:rPr>
        <w:t xml:space="preserve">Our special thanks go to Iestyn for mastering the tricky programming required to make these extended scale descriptions meld with the previous site structure. </w:t>
      </w:r>
    </w:p>
    <w:p w:rsidR="000A6964" w:rsidRDefault="000A6964" w:rsidP="00844DEF">
      <w:pPr>
        <w:rPr>
          <w:rFonts w:cstheme="majorBidi"/>
          <w:bCs/>
        </w:rPr>
      </w:pPr>
    </w:p>
    <w:p w:rsidR="000D0AAB" w:rsidRDefault="00551B77" w:rsidP="00844DEF">
      <w:pPr>
        <w:rPr>
          <w:rFonts w:cstheme="majorBidi"/>
          <w:bCs/>
        </w:rPr>
      </w:pPr>
      <w:r>
        <w:rPr>
          <w:rFonts w:cstheme="majorBidi"/>
          <w:bCs/>
        </w:rPr>
        <w:t xml:space="preserve">This addition, of the extended description of the DASS scale, is a major new initiative for </w:t>
      </w:r>
      <w:proofErr w:type="spellStart"/>
      <w:r>
        <w:rPr>
          <w:rFonts w:cstheme="majorBidi"/>
          <w:bCs/>
        </w:rPr>
        <w:t>ACQ</w:t>
      </w:r>
      <w:r w:rsidR="000A6964">
        <w:rPr>
          <w:rFonts w:cstheme="majorBidi"/>
          <w:bCs/>
        </w:rPr>
        <w:t>ol</w:t>
      </w:r>
      <w:proofErr w:type="spellEnd"/>
      <w:r>
        <w:rPr>
          <w:rFonts w:cstheme="majorBidi"/>
          <w:bCs/>
        </w:rPr>
        <w:t xml:space="preserve">. While the current scale descriptions are minimalist snap-shots, the extended descriptions provide a far more sophisticated view of each scale’s psychometric performance. </w:t>
      </w:r>
      <w:r w:rsidR="000D0AAB">
        <w:rPr>
          <w:rFonts w:cstheme="majorBidi"/>
          <w:bCs/>
        </w:rPr>
        <w:lastRenderedPageBreak/>
        <w:t xml:space="preserve">However, it </w:t>
      </w:r>
      <w:r>
        <w:rPr>
          <w:rFonts w:cstheme="majorBidi"/>
          <w:bCs/>
        </w:rPr>
        <w:t>is important to note that these extended descriptions are not evaluative reviews. Rather</w:t>
      </w:r>
      <w:r w:rsidR="000D0AAB">
        <w:rPr>
          <w:rFonts w:cstheme="majorBidi"/>
          <w:bCs/>
        </w:rPr>
        <w:t>, they are</w:t>
      </w:r>
      <w:r>
        <w:rPr>
          <w:rFonts w:cstheme="majorBidi"/>
          <w:bCs/>
        </w:rPr>
        <w:t xml:space="preserve"> list</w:t>
      </w:r>
      <w:r w:rsidR="000A6964">
        <w:rPr>
          <w:rFonts w:cstheme="majorBidi"/>
          <w:bCs/>
        </w:rPr>
        <w:t>s</w:t>
      </w:r>
      <w:r>
        <w:rPr>
          <w:rFonts w:cstheme="majorBidi"/>
          <w:bCs/>
        </w:rPr>
        <w:t xml:space="preserve"> of psychometric characteristics</w:t>
      </w:r>
      <w:r w:rsidR="000D0AAB">
        <w:rPr>
          <w:rFonts w:cstheme="majorBidi"/>
          <w:bCs/>
        </w:rPr>
        <w:t>, as reported by a few studies, selected on a convenience basis. These listings are merely intended to assist researchers in their evaluation of each scale’s worthiness.</w:t>
      </w:r>
    </w:p>
    <w:p w:rsidR="00551B77" w:rsidRDefault="00551B77" w:rsidP="00844DEF">
      <w:pPr>
        <w:rPr>
          <w:rFonts w:cstheme="majorBidi"/>
          <w:b/>
          <w:bCs/>
          <w:sz w:val="28"/>
          <w:szCs w:val="28"/>
        </w:rPr>
      </w:pPr>
    </w:p>
    <w:p w:rsidR="00844DEF" w:rsidRPr="00CD76BA" w:rsidRDefault="00844DEF" w:rsidP="00844DEF">
      <w:pPr>
        <w:rPr>
          <w:rFonts w:cstheme="majorBidi"/>
          <w:b/>
          <w:bCs/>
          <w:sz w:val="28"/>
          <w:szCs w:val="28"/>
        </w:rPr>
      </w:pPr>
      <w:r w:rsidRPr="00844DEF">
        <w:rPr>
          <w:rFonts w:cstheme="majorBidi"/>
          <w:b/>
          <w:bCs/>
          <w:sz w:val="28"/>
          <w:szCs w:val="28"/>
        </w:rPr>
        <w:t>Australian Centre on Quality of Life: Scale descriptions:</w:t>
      </w:r>
    </w:p>
    <w:p w:rsidR="00844DEF" w:rsidRPr="00844DEF" w:rsidRDefault="00844DEF" w:rsidP="00844DEF">
      <w:pPr>
        <w:rPr>
          <w:rFonts w:cstheme="majorBidi"/>
          <w:bCs/>
          <w:szCs w:val="20"/>
        </w:rPr>
      </w:pPr>
      <w:r w:rsidRPr="00475EF2">
        <w:rPr>
          <w:rFonts w:cstheme="majorBidi"/>
          <w:bCs/>
          <w:i/>
          <w:szCs w:val="20"/>
        </w:rPr>
        <w:t>Scale:</w:t>
      </w:r>
      <w:r w:rsidRPr="00844DEF">
        <w:rPr>
          <w:rFonts w:cstheme="majorBidi"/>
          <w:bCs/>
          <w:szCs w:val="20"/>
        </w:rPr>
        <w:t xml:space="preserve"> Depression Anxiety Stress Scales (Lovibond &amp; Lovibond, 1995)</w:t>
      </w:r>
    </w:p>
    <w:p w:rsidR="00844DEF" w:rsidRPr="00844DEF" w:rsidRDefault="00844DEF" w:rsidP="00844DEF">
      <w:pPr>
        <w:rPr>
          <w:rFonts w:cstheme="majorBidi"/>
          <w:bCs/>
          <w:szCs w:val="20"/>
        </w:rPr>
      </w:pPr>
    </w:p>
    <w:p w:rsidR="00844DEF" w:rsidRPr="00475EF2" w:rsidRDefault="00844DEF" w:rsidP="00844DEF">
      <w:pPr>
        <w:rPr>
          <w:rFonts w:cstheme="majorBidi"/>
          <w:bCs/>
          <w:i/>
          <w:szCs w:val="20"/>
        </w:rPr>
      </w:pPr>
      <w:r w:rsidRPr="00475EF2">
        <w:rPr>
          <w:rFonts w:cstheme="majorBidi"/>
          <w:bCs/>
          <w:i/>
          <w:szCs w:val="20"/>
        </w:rPr>
        <w:t xml:space="preserve">Brief psychometric description: </w:t>
      </w:r>
    </w:p>
    <w:p w:rsidR="00844DEF" w:rsidRPr="00844DEF" w:rsidRDefault="00DF3874" w:rsidP="00844DEF">
      <w:pPr>
        <w:rPr>
          <w:rFonts w:cstheme="majorBidi"/>
          <w:bCs/>
          <w:szCs w:val="20"/>
        </w:rPr>
      </w:pPr>
      <w:hyperlink r:id="rId159" w:anchor="measures" w:history="1">
        <w:r w:rsidR="00844DEF" w:rsidRPr="00844DEF">
          <w:rPr>
            <w:rFonts w:cstheme="majorBidi"/>
            <w:bCs/>
            <w:color w:val="0563C1" w:themeColor="hyperlink"/>
            <w:szCs w:val="20"/>
            <w:u w:val="single"/>
          </w:rPr>
          <w:t>http://www.acqol.com.au/instruments#measures</w:t>
        </w:r>
      </w:hyperlink>
    </w:p>
    <w:p w:rsidR="00844DEF" w:rsidRPr="00844DEF" w:rsidRDefault="00844DEF" w:rsidP="00844DEF">
      <w:pPr>
        <w:rPr>
          <w:rFonts w:cstheme="majorBidi"/>
          <w:bCs/>
          <w:szCs w:val="20"/>
        </w:rPr>
      </w:pPr>
    </w:p>
    <w:p w:rsidR="00844DEF" w:rsidRPr="00475EF2" w:rsidRDefault="00844DEF" w:rsidP="00844DEF">
      <w:pPr>
        <w:rPr>
          <w:rFonts w:cstheme="majorBidi"/>
          <w:bCs/>
          <w:i/>
          <w:szCs w:val="20"/>
        </w:rPr>
      </w:pPr>
      <w:r w:rsidRPr="00475EF2">
        <w:rPr>
          <w:rFonts w:cstheme="majorBidi"/>
          <w:bCs/>
          <w:i/>
          <w:szCs w:val="20"/>
        </w:rPr>
        <w:t>Extended psychometric description:</w:t>
      </w:r>
    </w:p>
    <w:p w:rsidR="00844DEF" w:rsidRPr="00844DEF" w:rsidRDefault="00844DEF" w:rsidP="00844DEF">
      <w:pPr>
        <w:rPr>
          <w:rFonts w:cstheme="majorBidi"/>
          <w:bCs/>
          <w:szCs w:val="20"/>
        </w:rPr>
      </w:pPr>
      <w:r w:rsidRPr="00844DEF">
        <w:rPr>
          <w:rFonts w:cstheme="majorBidi"/>
          <w:bCs/>
          <w:szCs w:val="20"/>
        </w:rPr>
        <w:t xml:space="preserve">Djordjevic, N. (2019). Depression Anxiety Stress Scales: Psychometric description. In R. A. Cummins (Ed.), </w:t>
      </w:r>
      <w:r w:rsidRPr="00844DEF">
        <w:rPr>
          <w:rFonts w:cstheme="majorBidi"/>
          <w:bCs/>
          <w:i/>
          <w:iCs/>
          <w:szCs w:val="20"/>
        </w:rPr>
        <w:t>Australian Centre on Quality of Life: Instruments</w:t>
      </w:r>
      <w:r w:rsidRPr="00844DEF">
        <w:rPr>
          <w:rFonts w:cstheme="majorBidi"/>
          <w:bCs/>
          <w:szCs w:val="20"/>
        </w:rPr>
        <w:t xml:space="preserve">. Geelong: Deakin University </w:t>
      </w:r>
      <w:hyperlink r:id="rId160" w:history="1">
        <w:r w:rsidRPr="00844DEF">
          <w:rPr>
            <w:rFonts w:cstheme="majorBidi"/>
            <w:bCs/>
            <w:color w:val="0563C1" w:themeColor="hyperlink"/>
            <w:szCs w:val="20"/>
            <w:u w:val="single"/>
          </w:rPr>
          <w:t>http://www.acqol.com.au/uploads/instruments/DASS-Nemanja-211118-FINAL.pdf</w:t>
        </w:r>
      </w:hyperlink>
    </w:p>
    <w:p w:rsidR="00844DEF" w:rsidRPr="00844DEF" w:rsidRDefault="00844DEF" w:rsidP="00844DEF">
      <w:pPr>
        <w:rPr>
          <w:rFonts w:cstheme="majorBidi"/>
          <w:bCs/>
          <w:szCs w:val="20"/>
        </w:rPr>
      </w:pPr>
    </w:p>
    <w:p w:rsidR="00844DEF" w:rsidRPr="00475EF2" w:rsidRDefault="00844DEF" w:rsidP="00844DEF">
      <w:pPr>
        <w:rPr>
          <w:rFonts w:cstheme="majorBidi"/>
          <w:bCs/>
          <w:i/>
          <w:szCs w:val="20"/>
        </w:rPr>
      </w:pPr>
      <w:r w:rsidRPr="00475EF2">
        <w:rPr>
          <w:rFonts w:cstheme="majorBidi"/>
          <w:bCs/>
          <w:i/>
          <w:szCs w:val="20"/>
        </w:rPr>
        <w:t xml:space="preserve">Reference to scale: </w:t>
      </w:r>
    </w:p>
    <w:p w:rsidR="00844DEF" w:rsidRPr="00844DEF" w:rsidRDefault="00844DEF" w:rsidP="00844DEF">
      <w:pPr>
        <w:rPr>
          <w:rFonts w:cstheme="majorBidi"/>
          <w:bCs/>
          <w:szCs w:val="20"/>
        </w:rPr>
      </w:pPr>
      <w:r w:rsidRPr="00844DEF">
        <w:rPr>
          <w:rFonts w:cstheme="majorBidi"/>
          <w:bCs/>
          <w:szCs w:val="20"/>
        </w:rPr>
        <w:t xml:space="preserve">Lovibond, S. H., &amp; Lovibond, P. F. (1995) Manual for the depression anxiety stress scales (2nd ed.). Sydney: Psychology Foundation. </w:t>
      </w:r>
      <w:hyperlink r:id="rId161" w:history="1">
        <w:r w:rsidRPr="00844DEF">
          <w:rPr>
            <w:rFonts w:cstheme="majorBidi"/>
            <w:bCs/>
            <w:color w:val="0563C1" w:themeColor="hyperlink"/>
            <w:szCs w:val="20"/>
            <w:u w:val="single"/>
          </w:rPr>
          <w:t>http://www.psy.unsw.edu.au/groups/Dass/</w:t>
        </w:r>
      </w:hyperlink>
      <w:r w:rsidRPr="00844DEF">
        <w:rPr>
          <w:rFonts w:cstheme="majorBidi"/>
          <w:bCs/>
          <w:szCs w:val="20"/>
        </w:rPr>
        <w:t>)</w:t>
      </w:r>
    </w:p>
    <w:p w:rsidR="0006399A" w:rsidRPr="00BB5D46" w:rsidRDefault="0006399A" w:rsidP="00CD76BA">
      <w:pPr>
        <w:rPr>
          <w:rFonts w:eastAsia="Arial" w:cs="Times New Roman"/>
          <w:b/>
          <w:color w:val="000000"/>
          <w:sz w:val="32"/>
          <w:szCs w:val="32"/>
          <w:lang w:val="en-US"/>
        </w:rPr>
      </w:pPr>
    </w:p>
    <w:p w:rsidR="0006399A" w:rsidRDefault="0006399A" w:rsidP="0006399A">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06399A" w:rsidRPr="00496A94" w:rsidRDefault="0006399A" w:rsidP="00496A94">
      <w:pPr>
        <w:jc w:val="center"/>
        <w:rPr>
          <w:rFonts w:eastAsia="Calibri" w:cs="Times New Roman"/>
          <w:i/>
          <w:szCs w:val="22"/>
        </w:rPr>
      </w:pPr>
      <w:r w:rsidRPr="007F0718">
        <w:rPr>
          <w:rFonts w:eastAsia="Calibri" w:cs="Times New Roman"/>
          <w:i/>
          <w:szCs w:val="22"/>
        </w:rPr>
        <w:t>Sourced from the Analysis &amp; Policy Observatory</w:t>
      </w:r>
    </w:p>
    <w:p w:rsidR="00CD76BA" w:rsidRDefault="00CD76BA" w:rsidP="0006399A">
      <w:pPr>
        <w:rPr>
          <w:rFonts w:eastAsia="Arial" w:cs="Times New Roman"/>
          <w:color w:val="000000"/>
          <w:sz w:val="20"/>
          <w:szCs w:val="20"/>
        </w:rPr>
      </w:pPr>
      <w:r w:rsidRPr="00CD76BA">
        <w:rPr>
          <w:rFonts w:eastAsia="Arial" w:cs="Times New Roman"/>
          <w:color w:val="000000"/>
        </w:rPr>
        <w:t xml:space="preserve">Walsh, T., Levy, N., Bell, G., Elliott, A., Maclaurin, J., </w:t>
      </w:r>
      <w:proofErr w:type="spellStart"/>
      <w:r w:rsidRPr="00CD76BA">
        <w:rPr>
          <w:rFonts w:eastAsia="Arial" w:cs="Times New Roman"/>
          <w:color w:val="000000"/>
        </w:rPr>
        <w:t>Mareels</w:t>
      </w:r>
      <w:proofErr w:type="spellEnd"/>
      <w:r w:rsidRPr="00CD76BA">
        <w:rPr>
          <w:rFonts w:eastAsia="Arial" w:cs="Times New Roman"/>
          <w:color w:val="000000"/>
        </w:rPr>
        <w:t xml:space="preserve">, I. M. Y., &amp; Wood, F. M. (2019). The effective and ethical development of artificial intelligence: An opportunity to improve our wellbeing. Melbourne: Australian Council of Learned Academies, </w:t>
      </w:r>
      <w:hyperlink r:id="rId162" w:history="1">
        <w:r w:rsidRPr="00CD76BA">
          <w:rPr>
            <w:rStyle w:val="Hyperlink"/>
            <w:rFonts w:eastAsia="Arial" w:cs="Times New Roman"/>
          </w:rPr>
          <w:t>www.acola.org</w:t>
        </w:r>
      </w:hyperlink>
      <w:r w:rsidRPr="00CD76BA">
        <w:rPr>
          <w:rFonts w:eastAsia="Arial" w:cs="Times New Roman"/>
          <w:color w:val="000000"/>
          <w:sz w:val="20"/>
          <w:szCs w:val="20"/>
        </w:rPr>
        <w:t xml:space="preserve">. </w:t>
      </w:r>
    </w:p>
    <w:p w:rsidR="00CD76BA" w:rsidRDefault="00DF3874" w:rsidP="00CD76BA">
      <w:pPr>
        <w:rPr>
          <w:rFonts w:eastAsia="Arial" w:cs="Times New Roman"/>
          <w:color w:val="000000"/>
          <w:sz w:val="20"/>
          <w:szCs w:val="20"/>
        </w:rPr>
      </w:pPr>
      <w:hyperlink r:id="rId163" w:history="1">
        <w:r w:rsidR="00CD76BA" w:rsidRPr="008030F9">
          <w:rPr>
            <w:rStyle w:val="Hyperlink"/>
            <w:rFonts w:eastAsia="Arial" w:cs="Times New Roman"/>
            <w:sz w:val="20"/>
            <w:szCs w:val="20"/>
          </w:rPr>
          <w:t>https://apo.org.au/sites/default/files/resource-files/2019/07/apo-nid250306-1375966.pdf</w:t>
        </w:r>
      </w:hyperlink>
    </w:p>
    <w:p w:rsidR="00CD76BA" w:rsidRDefault="00CD76BA" w:rsidP="00CD76BA">
      <w:pPr>
        <w:rPr>
          <w:rFonts w:eastAsia="Arial" w:cs="Times New Roman"/>
          <w:color w:val="000000"/>
          <w:sz w:val="20"/>
          <w:szCs w:val="20"/>
        </w:rPr>
      </w:pPr>
    </w:p>
    <w:p w:rsidR="0006399A" w:rsidRDefault="00CD76BA" w:rsidP="00CD76BA">
      <w:pPr>
        <w:rPr>
          <w:rFonts w:eastAsia="Arial" w:cs="Times New Roman"/>
          <w:color w:val="000000"/>
        </w:rPr>
      </w:pPr>
      <w:r w:rsidRPr="00CD76BA">
        <w:rPr>
          <w:rFonts w:eastAsia="Arial" w:cs="Times New Roman"/>
          <w:color w:val="000000"/>
        </w:rPr>
        <w:t xml:space="preserve">The promise underpinning predications of the potential benefits associated with AI technologies may be equally juxtaposed with narratives that anticipate global risks. To a large extent, these divergent views exist as a result of the yet uncertain capacity, application, uptake and associated impact of AI technologies. However, the utility of extreme optimism or pessimism is limited in the capacity to address the wide ranging and, perhaps less obvious, impacts of AI. </w:t>
      </w:r>
      <w:r>
        <w:rPr>
          <w:rFonts w:eastAsia="Arial" w:cs="Times New Roman"/>
          <w:color w:val="000000"/>
        </w:rPr>
        <w:t>…</w:t>
      </w:r>
      <w:r w:rsidRPr="00CD76BA">
        <w:rPr>
          <w:rFonts w:eastAsia="Arial" w:cs="Times New Roman"/>
          <w:color w:val="000000"/>
        </w:rPr>
        <w:t xml:space="preserve"> this report seeks to give a measured and balanced examination of the emergence of AI as informed by leading experts.</w:t>
      </w:r>
    </w:p>
    <w:p w:rsidR="00CD76BA" w:rsidRPr="00CD76BA" w:rsidRDefault="00CD76BA" w:rsidP="00CD76BA">
      <w:pPr>
        <w:rPr>
          <w:rFonts w:eastAsia="Arial" w:cs="Times New Roman"/>
          <w:color w:val="000000"/>
        </w:rPr>
      </w:pPr>
    </w:p>
    <w:p w:rsidR="00CD76BA" w:rsidRPr="00CD76BA" w:rsidRDefault="00CD76BA" w:rsidP="00CD76BA">
      <w:pPr>
        <w:rPr>
          <w:rFonts w:cs="Times New Roman"/>
        </w:rPr>
      </w:pPr>
      <w:r w:rsidRPr="00CD76BA">
        <w:rPr>
          <w:rFonts w:cs="Times New Roman"/>
        </w:rPr>
        <w:t>What is known is that the future role of AI will be ultimately determined by decisions taken today. To ensure that AI technologies provide equitable opportunities, foster social inclusion and distribute advantages throughout every sector of society, it will be necessary to develop AI in accordance with broader societal principles centred on improving prosperity, addressing inequity and continued betterment. Partnerships between government, industry and the community will be essential in determining and developing the values underpinning AI for enhanced wellbeing.</w:t>
      </w:r>
    </w:p>
    <w:p w:rsidR="0006399A" w:rsidRDefault="0006399A" w:rsidP="0006399A">
      <w:pPr>
        <w:jc w:val="center"/>
        <w:rPr>
          <w:rFonts w:ascii="Helvetica" w:hAnsi="Helvetica" w:cs="Helvetica"/>
          <w:sz w:val="18"/>
          <w:szCs w:val="18"/>
        </w:rPr>
      </w:pPr>
    </w:p>
    <w:p w:rsidR="0006399A" w:rsidRPr="00CB131A" w:rsidRDefault="0006399A" w:rsidP="0006399A">
      <w:pPr>
        <w:jc w:val="center"/>
        <w:rPr>
          <w:rFonts w:eastAsia="Arial" w:cs="Times New Roman"/>
          <w:b/>
          <w:sz w:val="32"/>
          <w:szCs w:val="32"/>
        </w:rPr>
      </w:pPr>
      <w:r w:rsidRPr="00BB5D46">
        <w:rPr>
          <w:rFonts w:eastAsia="Arial" w:cs="Times New Roman"/>
          <w:b/>
          <w:sz w:val="32"/>
          <w:szCs w:val="32"/>
        </w:rPr>
        <w:t>Media news</w:t>
      </w:r>
    </w:p>
    <w:p w:rsidR="0006399A" w:rsidRPr="00CB131A" w:rsidRDefault="0006399A" w:rsidP="0006399A">
      <w:pPr>
        <w:jc w:val="center"/>
        <w:rPr>
          <w:rFonts w:eastAsia="Arial" w:cs="Times New Roman"/>
          <w:i/>
        </w:rPr>
      </w:pPr>
      <w:r w:rsidRPr="00CB131A">
        <w:rPr>
          <w:rFonts w:eastAsia="Arial" w:cs="Times New Roman"/>
          <w:i/>
        </w:rPr>
        <w:t>Tanika Roberts [</w:t>
      </w:r>
      <w:hyperlink r:id="rId164" w:history="1">
        <w:r w:rsidRPr="00CB131A">
          <w:rPr>
            <w:rStyle w:val="Hyperlink"/>
            <w:rFonts w:eastAsia="Arial" w:cs="Times New Roman"/>
            <w:i/>
          </w:rPr>
          <w:t>trobe@deakin.edu.au</w:t>
        </w:r>
      </w:hyperlink>
      <w:r w:rsidRPr="00CB131A">
        <w:rPr>
          <w:rFonts w:eastAsia="Arial" w:cs="Times New Roman"/>
          <w:i/>
        </w:rPr>
        <w:t>]</w:t>
      </w:r>
    </w:p>
    <w:p w:rsidR="0006399A" w:rsidRPr="00CB131A" w:rsidRDefault="0006399A" w:rsidP="0006399A">
      <w:pPr>
        <w:jc w:val="center"/>
        <w:rPr>
          <w:rFonts w:eastAsia="Arial" w:cs="Times New Roman"/>
          <w:i/>
        </w:rPr>
      </w:pPr>
      <w:r w:rsidRPr="00CB131A">
        <w:rPr>
          <w:rFonts w:eastAsia="Arial" w:cs="Times New Roman"/>
          <w:i/>
        </w:rPr>
        <w:t>Executive Volunteer, Bulletin Co-Editor– Media</w:t>
      </w:r>
    </w:p>
    <w:p w:rsidR="0006399A" w:rsidRDefault="0006399A" w:rsidP="0006399A">
      <w:pPr>
        <w:rPr>
          <w:rFonts w:eastAsia="Arial" w:cs="Times New Roman"/>
          <w:sz w:val="28"/>
          <w:szCs w:val="28"/>
        </w:rPr>
      </w:pPr>
    </w:p>
    <w:p w:rsidR="00AA369B" w:rsidRPr="00AA369B" w:rsidRDefault="00AA369B" w:rsidP="00AA369B">
      <w:pPr>
        <w:pStyle w:val="Heading1"/>
        <w:shd w:val="clear" w:color="auto" w:fill="FFFFFF"/>
        <w:spacing w:before="0"/>
        <w:rPr>
          <w:rFonts w:eastAsia="Times New Roman"/>
          <w:b/>
        </w:rPr>
      </w:pPr>
      <w:r w:rsidRPr="00AA369B">
        <w:rPr>
          <w:rFonts w:eastAsia="Times New Roman"/>
          <w:b/>
          <w:sz w:val="27"/>
          <w:szCs w:val="27"/>
        </w:rPr>
        <w:lastRenderedPageBreak/>
        <w:t>Using visual imagery to find your true passions</w:t>
      </w:r>
    </w:p>
    <w:p w:rsidR="00AA369B" w:rsidRDefault="00AA369B" w:rsidP="00AA369B">
      <w:pPr>
        <w:pStyle w:val="Heading1"/>
        <w:shd w:val="clear" w:color="auto" w:fill="FFFFFF"/>
        <w:spacing w:before="0"/>
        <w:rPr>
          <w:rFonts w:eastAsia="Times New Roman"/>
        </w:rPr>
      </w:pPr>
      <w:r>
        <w:rPr>
          <w:rFonts w:eastAsia="Times New Roman"/>
          <w:b/>
          <w:bCs/>
          <w:color w:val="333333"/>
          <w:sz w:val="22"/>
          <w:szCs w:val="22"/>
        </w:rPr>
        <w:t>Ohio State University</w:t>
      </w:r>
    </w:p>
    <w:p w:rsidR="00AA369B" w:rsidRDefault="00DF3874" w:rsidP="00AA369B">
      <w:pPr>
        <w:pStyle w:val="Heading1"/>
        <w:shd w:val="clear" w:color="auto" w:fill="FFFFFF"/>
        <w:spacing w:before="0"/>
        <w:rPr>
          <w:rFonts w:eastAsia="Times New Roman"/>
        </w:rPr>
      </w:pPr>
      <w:hyperlink r:id="rId165" w:history="1">
        <w:r w:rsidR="00AA369B">
          <w:rPr>
            <w:rStyle w:val="Hyperlink"/>
            <w:rFonts w:eastAsia="Times New Roman"/>
            <w:b/>
            <w:bCs/>
            <w:sz w:val="21"/>
            <w:szCs w:val="21"/>
          </w:rPr>
          <w:t>https://www.sciencedaily.com/releases/2019/07/190722111900.htm</w:t>
        </w:r>
      </w:hyperlink>
    </w:p>
    <w:p w:rsidR="00AA369B" w:rsidRDefault="00AA369B" w:rsidP="00AA369B">
      <w:pPr>
        <w:spacing w:before="100" w:beforeAutospacing="1" w:after="100" w:afterAutospacing="1"/>
      </w:pPr>
      <w:r>
        <w:rPr>
          <w:color w:val="333333"/>
          <w:sz w:val="21"/>
          <w:szCs w:val="21"/>
          <w:shd w:val="clear" w:color="auto" w:fill="FFFFFF"/>
        </w:rPr>
        <w:t xml:space="preserve">You may think you know what you like - how to spend your time or what profession to pursue. But a new study suggests that your pre-existing self-beliefs, as well as cultural stereotypes, may interfere with your memories and keep you from remembering what truly interests you. Researchers at The Ohio State University found that one particular mental technique could help us overcome the barriers that block us from finding our passions. In this study, first-person imagery helped women get in touch with how interesting a science activity actually was rather than be biased by their pre-existing beliefs, </w:t>
      </w:r>
      <w:proofErr w:type="spellStart"/>
      <w:r>
        <w:rPr>
          <w:color w:val="333333"/>
          <w:sz w:val="21"/>
          <w:szCs w:val="21"/>
          <w:shd w:val="clear" w:color="auto" w:fill="FFFFFF"/>
        </w:rPr>
        <w:t>Niese</w:t>
      </w:r>
      <w:proofErr w:type="spellEnd"/>
      <w:r>
        <w:rPr>
          <w:color w:val="333333"/>
          <w:sz w:val="21"/>
          <w:szCs w:val="21"/>
          <w:shd w:val="clear" w:color="auto" w:fill="FFFFFF"/>
        </w:rPr>
        <w:t xml:space="preserve"> </w:t>
      </w:r>
      <w:proofErr w:type="spellStart"/>
      <w:r>
        <w:rPr>
          <w:color w:val="333333"/>
          <w:sz w:val="21"/>
          <w:szCs w:val="21"/>
          <w:shd w:val="clear" w:color="auto" w:fill="FFFFFF"/>
        </w:rPr>
        <w:t>said."It's</w:t>
      </w:r>
      <w:proofErr w:type="spellEnd"/>
      <w:r>
        <w:rPr>
          <w:color w:val="333333"/>
          <w:sz w:val="21"/>
          <w:szCs w:val="21"/>
          <w:shd w:val="clear" w:color="auto" w:fill="FFFFFF"/>
        </w:rPr>
        <w:t xml:space="preserve"> something people could do on their own if they wanted to and gain these benefits in situations where cultural stereotypes or pre-existing beliefs might be likely to bias their judgment or cloud their memories."</w:t>
      </w:r>
    </w:p>
    <w:p w:rsidR="0006399A" w:rsidRDefault="0006399A" w:rsidP="0006399A">
      <w:pPr>
        <w:pStyle w:val="NormalWeb"/>
        <w:rPr>
          <w:rFonts w:ascii="Arial" w:hAnsi="Arial" w:cs="Arial"/>
          <w:b/>
          <w:color w:val="000000"/>
          <w:sz w:val="20"/>
          <w:szCs w:val="20"/>
        </w:rPr>
      </w:pPr>
      <w:r>
        <w:rPr>
          <w:rFonts w:ascii="Arial" w:hAnsi="Arial" w:cs="Arial"/>
          <w:b/>
          <w:color w:val="000000"/>
          <w:sz w:val="20"/>
          <w:szCs w:val="20"/>
        </w:rPr>
        <w:t>-----------------------</w:t>
      </w:r>
    </w:p>
    <w:p w:rsidR="0006399A" w:rsidRPr="00294DBE" w:rsidRDefault="0006399A" w:rsidP="0006399A">
      <w:pPr>
        <w:pStyle w:val="NormalWeb"/>
        <w:rPr>
          <w:rFonts w:ascii="Times New Roman" w:hAnsi="Times New Roman"/>
          <w:b/>
          <w:color w:val="000000"/>
        </w:rPr>
      </w:pPr>
      <w:r w:rsidRPr="00294DBE">
        <w:rPr>
          <w:rFonts w:ascii="Times New Roman" w:hAnsi="Times New Roman"/>
          <w:b/>
          <w:color w:val="000000"/>
        </w:rPr>
        <w:t>References</w:t>
      </w:r>
    </w:p>
    <w:p w:rsidR="00294DBE" w:rsidRPr="00294DBE" w:rsidRDefault="00294DBE" w:rsidP="00294DBE">
      <w:pPr>
        <w:ind w:left="720" w:hanging="720"/>
        <w:rPr>
          <w:rFonts w:eastAsia="Calibri" w:cs="Times New Roman"/>
          <w:noProof/>
          <w:lang w:val="en-US"/>
        </w:rPr>
      </w:pPr>
      <w:r w:rsidRPr="00294DBE">
        <w:rPr>
          <w:rFonts w:eastAsia="Calibri" w:cs="Times New Roman"/>
          <w:b/>
          <w:noProof/>
          <w:color w:val="000000"/>
          <w:lang w:val="en-US" w:eastAsia="en-AU"/>
        </w:rPr>
        <w:fldChar w:fldCharType="begin"/>
      </w:r>
      <w:r w:rsidRPr="00294DBE">
        <w:rPr>
          <w:rFonts w:eastAsia="Calibri" w:cs="Times New Roman"/>
          <w:b/>
          <w:noProof/>
          <w:color w:val="000000"/>
          <w:lang w:val="en-US" w:eastAsia="en-AU"/>
        </w:rPr>
        <w:instrText xml:space="preserve"> ADDIN EN.REFLIST </w:instrText>
      </w:r>
      <w:r w:rsidRPr="00294DBE">
        <w:rPr>
          <w:rFonts w:eastAsia="Calibri" w:cs="Times New Roman"/>
          <w:b/>
          <w:noProof/>
          <w:color w:val="000000"/>
          <w:lang w:val="en-US" w:eastAsia="en-AU"/>
        </w:rPr>
        <w:fldChar w:fldCharType="separate"/>
      </w:r>
      <w:r w:rsidRPr="00294DBE">
        <w:rPr>
          <w:rFonts w:eastAsia="Calibri" w:cs="Times New Roman"/>
          <w:noProof/>
          <w:lang w:val="en-US"/>
        </w:rPr>
        <w:t xml:space="preserve">Andrews, F. M., &amp; Robinson, J. P. (1991). Measures of subjective well-being. In F. M. Andrews, J. P. Robinson, P. R. Shaver, &amp; L. S. Wrightsman (Eds.), </w:t>
      </w:r>
      <w:r w:rsidRPr="00294DBE">
        <w:rPr>
          <w:rFonts w:eastAsia="Calibri" w:cs="Times New Roman"/>
          <w:i/>
          <w:noProof/>
          <w:lang w:val="en-US"/>
        </w:rPr>
        <w:t>Measures of personality and social psychological attitudes</w:t>
      </w:r>
      <w:r w:rsidRPr="00294DBE">
        <w:rPr>
          <w:rFonts w:eastAsia="Calibri" w:cs="Times New Roman"/>
          <w:noProof/>
          <w:lang w:val="en-US"/>
        </w:rPr>
        <w:t xml:space="preserve"> (Vol. 1, pp. 61-114).</w:t>
      </w:r>
    </w:p>
    <w:p w:rsidR="00294DBE" w:rsidRPr="00294DBE" w:rsidRDefault="00294DBE" w:rsidP="00294DBE">
      <w:pPr>
        <w:ind w:left="720" w:hanging="720"/>
        <w:rPr>
          <w:rFonts w:eastAsia="Calibri" w:cs="Times New Roman"/>
          <w:noProof/>
          <w:lang w:val="en-US"/>
        </w:rPr>
      </w:pPr>
      <w:r w:rsidRPr="00294DBE">
        <w:rPr>
          <w:rFonts w:eastAsia="Calibri" w:cs="Times New Roman"/>
          <w:noProof/>
          <w:lang w:val="en-US"/>
        </w:rPr>
        <w:t xml:space="preserve">Bergner, M. (1989). Quality of life, health status, and clinical research. </w:t>
      </w:r>
      <w:r w:rsidRPr="00294DBE">
        <w:rPr>
          <w:rFonts w:eastAsia="Calibri" w:cs="Times New Roman"/>
          <w:i/>
          <w:noProof/>
          <w:lang w:val="en-US"/>
        </w:rPr>
        <w:t>Medical Care, 27</w:t>
      </w:r>
      <w:r w:rsidRPr="00294DBE">
        <w:rPr>
          <w:rFonts w:eastAsia="Calibri" w:cs="Times New Roman"/>
          <w:noProof/>
          <w:lang w:val="en-US"/>
        </w:rPr>
        <w:t xml:space="preserve">, S148-S156. </w:t>
      </w:r>
    </w:p>
    <w:p w:rsidR="00294DBE" w:rsidRPr="00294DBE" w:rsidRDefault="00294DBE" w:rsidP="00294DBE">
      <w:pPr>
        <w:ind w:left="720" w:hanging="720"/>
        <w:rPr>
          <w:rFonts w:eastAsia="Calibri" w:cs="Times New Roman"/>
          <w:noProof/>
          <w:lang w:val="en-US"/>
        </w:rPr>
      </w:pPr>
      <w:r w:rsidRPr="00294DBE">
        <w:rPr>
          <w:rFonts w:eastAsia="Calibri" w:cs="Times New Roman"/>
          <w:noProof/>
          <w:lang w:val="en-US"/>
        </w:rPr>
        <w:t xml:space="preserve">Blore, J. D., Stokes, M. A., Mellor, D., Firth, L., &amp; Cummins, R. A. (2011). Comparing multiple discrepancies theory to affective models of subjective wellbeing. </w:t>
      </w:r>
      <w:r w:rsidRPr="00294DBE">
        <w:rPr>
          <w:rFonts w:eastAsia="Calibri" w:cs="Times New Roman"/>
          <w:i/>
          <w:noProof/>
          <w:lang w:val="en-US"/>
        </w:rPr>
        <w:t>Social Indicators Research, 100</w:t>
      </w:r>
      <w:r w:rsidRPr="00294DBE">
        <w:rPr>
          <w:rFonts w:eastAsia="Calibri" w:cs="Times New Roman"/>
          <w:noProof/>
          <w:lang w:val="en-US"/>
        </w:rPr>
        <w:t>(1), 1-16. doi:10.1007/s11205-010-9599-2</w:t>
      </w:r>
    </w:p>
    <w:p w:rsidR="00294DBE" w:rsidRPr="00294DBE" w:rsidRDefault="00294DBE" w:rsidP="00294DBE">
      <w:pPr>
        <w:ind w:left="720" w:hanging="720"/>
        <w:rPr>
          <w:rFonts w:eastAsia="Calibri" w:cs="Times New Roman"/>
          <w:noProof/>
          <w:lang w:val="en-US"/>
        </w:rPr>
      </w:pPr>
      <w:r w:rsidRPr="00294DBE">
        <w:rPr>
          <w:rFonts w:eastAsia="Calibri" w:cs="Times New Roman"/>
          <w:noProof/>
          <w:lang w:val="en-US"/>
        </w:rPr>
        <w:t xml:space="preserve">Calman, K. C. (1984). Quality of life in cancer patients--an hypothesis. </w:t>
      </w:r>
      <w:r w:rsidRPr="00294DBE">
        <w:rPr>
          <w:rFonts w:eastAsia="Calibri" w:cs="Times New Roman"/>
          <w:i/>
          <w:noProof/>
          <w:lang w:val="en-US"/>
        </w:rPr>
        <w:t>Journal of medical ethics, 10</w:t>
      </w:r>
      <w:r w:rsidRPr="00294DBE">
        <w:rPr>
          <w:rFonts w:eastAsia="Calibri" w:cs="Times New Roman"/>
          <w:noProof/>
          <w:lang w:val="en-US"/>
        </w:rPr>
        <w:t xml:space="preserve">(3), 124-127. </w:t>
      </w:r>
    </w:p>
    <w:p w:rsidR="00294DBE" w:rsidRPr="00294DBE" w:rsidRDefault="00294DBE" w:rsidP="00294DBE">
      <w:pPr>
        <w:ind w:left="720" w:hanging="720"/>
        <w:rPr>
          <w:rFonts w:eastAsia="Calibri" w:cs="Times New Roman"/>
          <w:noProof/>
          <w:lang w:val="en-US"/>
        </w:rPr>
      </w:pPr>
      <w:r w:rsidRPr="00294DBE">
        <w:rPr>
          <w:rFonts w:eastAsia="Calibri" w:cs="Times New Roman"/>
          <w:noProof/>
          <w:lang w:val="en-US"/>
        </w:rPr>
        <w:t xml:space="preserve">Cummins, R. A. (2017a). </w:t>
      </w:r>
      <w:r w:rsidRPr="00294DBE">
        <w:rPr>
          <w:rFonts w:eastAsia="Calibri" w:cs="Times New Roman"/>
          <w:i/>
          <w:noProof/>
          <w:lang w:val="en-US"/>
        </w:rPr>
        <w:t>Subjective Wellbeing Homeostasis - Second edition</w:t>
      </w:r>
      <w:r w:rsidRPr="00294DBE">
        <w:rPr>
          <w:rFonts w:eastAsia="Calibri" w:cs="Times New Roman"/>
          <w:noProof/>
          <w:lang w:val="en-US"/>
        </w:rPr>
        <w:t xml:space="preserve">. In D. S. Dunn (Ed.), </w:t>
      </w:r>
      <w:r w:rsidRPr="00294DBE">
        <w:rPr>
          <w:rFonts w:eastAsia="Calibri" w:cs="Times New Roman"/>
          <w:i/>
          <w:noProof/>
          <w:lang w:val="en-US"/>
        </w:rPr>
        <w:t>Oxford Bibliographies Online</w:t>
      </w:r>
      <w:r w:rsidRPr="00294DBE">
        <w:rPr>
          <w:rFonts w:eastAsia="Calibri" w:cs="Times New Roman"/>
          <w:noProof/>
          <w:lang w:val="en-US"/>
        </w:rPr>
        <w:t xml:space="preserve">. Retrieved from </w:t>
      </w:r>
      <w:hyperlink r:id="rId166" w:history="1">
        <w:r w:rsidRPr="00294DBE">
          <w:rPr>
            <w:rFonts w:eastAsia="Calibri" w:cs="Times New Roman"/>
            <w:noProof/>
            <w:color w:val="0563C1" w:themeColor="hyperlink"/>
            <w:u w:val="single"/>
            <w:lang w:val="en-US"/>
          </w:rPr>
          <w:t>http://www.oxfordbibliographies.com/view/document/obo-9780199828340/obo-9780199828340-0167.xml</w:t>
        </w:r>
      </w:hyperlink>
    </w:p>
    <w:p w:rsidR="00294DBE" w:rsidRPr="00294DBE" w:rsidRDefault="00294DBE" w:rsidP="00294DBE">
      <w:pPr>
        <w:ind w:left="720" w:hanging="720"/>
        <w:rPr>
          <w:rFonts w:eastAsia="Calibri" w:cs="Times New Roman"/>
          <w:noProof/>
          <w:lang w:val="en-US"/>
        </w:rPr>
      </w:pPr>
      <w:r w:rsidRPr="00294DBE">
        <w:rPr>
          <w:rFonts w:eastAsia="Calibri" w:cs="Times New Roman"/>
          <w:noProof/>
          <w:lang w:val="en-US"/>
        </w:rPr>
        <w:t xml:space="preserve">Davern, M., Cummins, R. A., &amp; Stokes, M. (2007). Subjective wellbeing as an affective/cognitive construct. </w:t>
      </w:r>
      <w:r w:rsidRPr="00294DBE">
        <w:rPr>
          <w:rFonts w:eastAsia="Calibri" w:cs="Times New Roman"/>
          <w:i/>
          <w:noProof/>
          <w:lang w:val="en-US"/>
        </w:rPr>
        <w:t>Journal of Happiness Studies, 8</w:t>
      </w:r>
      <w:r w:rsidRPr="00294DBE">
        <w:rPr>
          <w:rFonts w:eastAsia="Calibri" w:cs="Times New Roman"/>
          <w:noProof/>
          <w:lang w:val="en-US"/>
        </w:rPr>
        <w:t>(4), 429-449. doi:10.1007/s10902-007-9066-1</w:t>
      </w:r>
    </w:p>
    <w:p w:rsidR="00294DBE" w:rsidRPr="00294DBE" w:rsidRDefault="00294DBE" w:rsidP="00294DBE">
      <w:pPr>
        <w:ind w:left="720" w:hanging="720"/>
        <w:rPr>
          <w:rFonts w:eastAsia="Calibri" w:cs="Times New Roman"/>
          <w:noProof/>
          <w:lang w:val="en-US"/>
        </w:rPr>
      </w:pPr>
      <w:r w:rsidRPr="00294DBE">
        <w:rPr>
          <w:rFonts w:eastAsia="Calibri" w:cs="Times New Roman"/>
          <w:noProof/>
          <w:lang w:val="en-US"/>
        </w:rPr>
        <w:t xml:space="preserve">Michalos, A. C. (1985). Multiple Discrepancies Theory (MDT). </w:t>
      </w:r>
      <w:r w:rsidRPr="00294DBE">
        <w:rPr>
          <w:rFonts w:eastAsia="Calibri" w:cs="Times New Roman"/>
          <w:i/>
          <w:noProof/>
          <w:lang w:val="en-US"/>
        </w:rPr>
        <w:t>Social Indicators Research, 16</w:t>
      </w:r>
      <w:r w:rsidRPr="00294DBE">
        <w:rPr>
          <w:rFonts w:eastAsia="Calibri" w:cs="Times New Roman"/>
          <w:noProof/>
          <w:lang w:val="en-US"/>
        </w:rPr>
        <w:t xml:space="preserve">, 347-413. </w:t>
      </w:r>
    </w:p>
    <w:p w:rsidR="00294DBE" w:rsidRPr="00294DBE" w:rsidRDefault="00294DBE" w:rsidP="00294DBE">
      <w:pPr>
        <w:ind w:left="720" w:hanging="720"/>
        <w:rPr>
          <w:rFonts w:eastAsia="Calibri" w:cs="Times New Roman"/>
          <w:noProof/>
          <w:lang w:val="en-US"/>
        </w:rPr>
      </w:pPr>
      <w:r w:rsidRPr="00294DBE">
        <w:rPr>
          <w:rFonts w:eastAsia="Calibri" w:cs="Times New Roman"/>
          <w:noProof/>
          <w:lang w:val="en-US"/>
        </w:rPr>
        <w:t xml:space="preserve">Ruta, D., Camfield, L., &amp; Donaldson, C. (2007). Sen and the art of quality of life maintenance: Towards a general theory of quality of life and its causation. </w:t>
      </w:r>
      <w:r w:rsidRPr="00294DBE">
        <w:rPr>
          <w:rFonts w:eastAsia="Calibri" w:cs="Times New Roman"/>
          <w:i/>
          <w:noProof/>
          <w:lang w:val="en-US"/>
        </w:rPr>
        <w:t>The Journal of Socio-Economics, 36</w:t>
      </w:r>
      <w:r w:rsidRPr="00294DBE">
        <w:rPr>
          <w:rFonts w:eastAsia="Calibri" w:cs="Times New Roman"/>
          <w:noProof/>
          <w:lang w:val="en-US"/>
        </w:rPr>
        <w:t xml:space="preserve">(3), 397-423. </w:t>
      </w:r>
    </w:p>
    <w:p w:rsidR="00294DBE" w:rsidRPr="00294DBE" w:rsidRDefault="00294DBE" w:rsidP="00294DBE">
      <w:pPr>
        <w:ind w:left="720" w:hanging="720"/>
        <w:rPr>
          <w:rFonts w:eastAsia="Calibri" w:cs="Times New Roman"/>
          <w:noProof/>
          <w:lang w:val="en-US"/>
        </w:rPr>
      </w:pPr>
      <w:r w:rsidRPr="00294DBE">
        <w:rPr>
          <w:rFonts w:eastAsia="Calibri" w:cs="Times New Roman"/>
          <w:noProof/>
          <w:lang w:val="en-US"/>
        </w:rPr>
        <w:t xml:space="preserve">Tomyn, A. J., &amp; Cummins, R. A. (2011a). Subjective wellbeing and homeostatically protected mood: Theory validation with adolescents. </w:t>
      </w:r>
      <w:r w:rsidRPr="00294DBE">
        <w:rPr>
          <w:rFonts w:eastAsia="Calibri" w:cs="Times New Roman"/>
          <w:i/>
          <w:noProof/>
          <w:lang w:val="en-US"/>
        </w:rPr>
        <w:t>Journal of Happiness Studies, 12</w:t>
      </w:r>
      <w:r w:rsidRPr="00294DBE">
        <w:rPr>
          <w:rFonts w:eastAsia="Calibri" w:cs="Times New Roman"/>
          <w:noProof/>
          <w:lang w:val="en-US"/>
        </w:rPr>
        <w:t>(5), 897-914. doi:10.1007/s10902-010-9235-5</w:t>
      </w:r>
    </w:p>
    <w:p w:rsidR="0050186C" w:rsidRDefault="00294DBE" w:rsidP="00294DBE">
      <w:pPr>
        <w:rPr>
          <w:rFonts w:eastAsia="Arial" w:cs="Times New Roman"/>
          <w:b/>
          <w:sz w:val="28"/>
          <w:szCs w:val="28"/>
        </w:rPr>
      </w:pPr>
      <w:r w:rsidRPr="00294DBE">
        <w:rPr>
          <w:rFonts w:eastAsia="Calibri" w:cs="Times New Roman"/>
          <w:b/>
          <w:color w:val="000000"/>
          <w:lang w:eastAsia="en-AU"/>
        </w:rPr>
        <w:fldChar w:fldCharType="end"/>
      </w:r>
    </w:p>
    <w:p w:rsidR="00284041" w:rsidRPr="00BB5D46" w:rsidRDefault="00284041" w:rsidP="00284041">
      <w:pPr>
        <w:rPr>
          <w:rFonts w:eastAsia="Arial" w:cs="Times New Roman"/>
          <w:b/>
          <w:sz w:val="28"/>
          <w:szCs w:val="28"/>
        </w:rPr>
      </w:pPr>
      <w:proofErr w:type="spellStart"/>
      <w:r w:rsidRPr="00680CF6">
        <w:rPr>
          <w:rFonts w:eastAsia="Arial" w:cs="Times New Roman"/>
          <w:b/>
          <w:sz w:val="28"/>
          <w:szCs w:val="28"/>
          <w:highlight w:val="green"/>
        </w:rPr>
        <w:t>ACQol</w:t>
      </w:r>
      <w:proofErr w:type="spellEnd"/>
      <w:r w:rsidRPr="00680CF6">
        <w:rPr>
          <w:rFonts w:eastAsia="Arial" w:cs="Times New Roman"/>
          <w:b/>
          <w:sz w:val="28"/>
          <w:szCs w:val="28"/>
          <w:highlight w:val="green"/>
        </w:rPr>
        <w:t xml:space="preserve"> Bulletin Vol 3/</w:t>
      </w:r>
      <w:r w:rsidR="0006399A" w:rsidRPr="00680CF6">
        <w:rPr>
          <w:rFonts w:eastAsia="Arial" w:cs="Times New Roman"/>
          <w:b/>
          <w:sz w:val="28"/>
          <w:szCs w:val="28"/>
          <w:highlight w:val="green"/>
        </w:rPr>
        <w:t>32</w:t>
      </w:r>
      <w:r w:rsidRPr="00680CF6">
        <w:rPr>
          <w:rFonts w:eastAsia="Arial" w:cs="Times New Roman"/>
          <w:b/>
          <w:sz w:val="28"/>
          <w:szCs w:val="28"/>
          <w:highlight w:val="green"/>
        </w:rPr>
        <w:t xml:space="preserve">: </w:t>
      </w:r>
      <w:r w:rsidR="0006399A" w:rsidRPr="00680CF6">
        <w:rPr>
          <w:rFonts w:eastAsia="Arial" w:cs="Times New Roman"/>
          <w:b/>
          <w:sz w:val="28"/>
          <w:szCs w:val="28"/>
          <w:highlight w:val="green"/>
        </w:rPr>
        <w:t>080819</w:t>
      </w:r>
    </w:p>
    <w:p w:rsidR="00284041" w:rsidRPr="00BB5D46" w:rsidRDefault="00284041" w:rsidP="00284041">
      <w:pPr>
        <w:rPr>
          <w:rFonts w:eastAsia="Arial" w:cs="Times New Roman"/>
          <w:b/>
          <w:sz w:val="28"/>
          <w:szCs w:val="28"/>
        </w:rPr>
      </w:pPr>
      <w:r w:rsidRPr="00BB5D46">
        <w:rPr>
          <w:rFonts w:eastAsia="Arial" w:cs="Times New Roman"/>
          <w:b/>
          <w:sz w:val="28"/>
          <w:szCs w:val="28"/>
        </w:rPr>
        <w:t>Bulletin of the Australian Centre on Quality of Life</w:t>
      </w:r>
    </w:p>
    <w:p w:rsidR="00284041" w:rsidRPr="00BB5D46" w:rsidRDefault="00DF3874" w:rsidP="00284041">
      <w:pPr>
        <w:rPr>
          <w:rFonts w:eastAsia="Arial" w:cs="Times New Roman"/>
        </w:rPr>
      </w:pPr>
      <w:hyperlink r:id="rId167" w:history="1">
        <w:r w:rsidR="00284041" w:rsidRPr="00BB5D46">
          <w:rPr>
            <w:rFonts w:eastAsia="Arial" w:cs="Times New Roman"/>
            <w:color w:val="0563C1"/>
            <w:u w:val="single"/>
          </w:rPr>
          <w:t>http://www.acqol.com.au/</w:t>
        </w:r>
      </w:hyperlink>
    </w:p>
    <w:p w:rsidR="00284041" w:rsidRPr="00AE19B8" w:rsidRDefault="00284041" w:rsidP="00284041">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284041" w:rsidRPr="00BB5D46" w:rsidRDefault="00284041" w:rsidP="00284041">
      <w:pPr>
        <w:rPr>
          <w:rFonts w:eastAsia="Arial" w:cs="Times New Roman"/>
          <w:b/>
        </w:rPr>
      </w:pPr>
      <w:r w:rsidRPr="00BB5D46">
        <w:rPr>
          <w:rFonts w:eastAsia="Arial" w:cs="Times New Roman"/>
          <w:b/>
        </w:rPr>
        <w:t xml:space="preserve">Back-issues of the Bulletin are available at </w:t>
      </w:r>
      <w:hyperlink r:id="rId168" w:anchor="bulletins" w:history="1">
        <w:r w:rsidRPr="00BB5D46">
          <w:rPr>
            <w:rFonts w:eastAsia="Arial" w:cs="Times New Roman"/>
            <w:color w:val="0563C1"/>
            <w:u w:val="single"/>
          </w:rPr>
          <w:t>http://www.acqol.com.au/projects#bulletins</w:t>
        </w:r>
      </w:hyperlink>
    </w:p>
    <w:p w:rsidR="00284041" w:rsidRPr="00BB5D46" w:rsidRDefault="00284041" w:rsidP="00284041">
      <w:pPr>
        <w:rPr>
          <w:rFonts w:eastAsia="Arial" w:cs="Times New Roman"/>
          <w:color w:val="0563C1"/>
          <w:u w:val="single"/>
        </w:rPr>
      </w:pPr>
    </w:p>
    <w:p w:rsidR="00284041" w:rsidRPr="00BB5D46" w:rsidRDefault="00284041" w:rsidP="00284041">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284041" w:rsidRDefault="00284041" w:rsidP="00F409D4">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284041" w:rsidRDefault="00284041" w:rsidP="00284041">
      <w:pPr>
        <w:jc w:val="center"/>
        <w:rPr>
          <w:rFonts w:eastAsia="Arial" w:cs="Times New Roman"/>
        </w:rPr>
      </w:pPr>
    </w:p>
    <w:p w:rsidR="00284041" w:rsidRPr="00BB5D46" w:rsidRDefault="00A0125F" w:rsidP="00284041">
      <w:pPr>
        <w:jc w:val="center"/>
        <w:rPr>
          <w:rFonts w:eastAsia="Arial" w:cs="Times New Roman"/>
          <w:b/>
          <w:sz w:val="32"/>
          <w:szCs w:val="32"/>
        </w:rPr>
      </w:pPr>
      <w:r>
        <w:rPr>
          <w:rFonts w:eastAsia="Arial" w:cs="Times New Roman"/>
          <w:b/>
          <w:sz w:val="32"/>
          <w:szCs w:val="32"/>
        </w:rPr>
        <w:lastRenderedPageBreak/>
        <w:t>Continued</w:t>
      </w:r>
      <w:r w:rsidR="00284041">
        <w:rPr>
          <w:rFonts w:eastAsia="Arial" w:cs="Times New Roman"/>
          <w:b/>
          <w:sz w:val="32"/>
          <w:szCs w:val="32"/>
        </w:rPr>
        <w:t xml:space="preserve"> discussion from last week</w:t>
      </w:r>
    </w:p>
    <w:p w:rsidR="00F409D4" w:rsidRPr="00F409D4" w:rsidRDefault="00284041" w:rsidP="00F409D4">
      <w:pPr>
        <w:rPr>
          <w:rFonts w:eastAsia="Arial" w:cs="Times New Roman"/>
          <w:i/>
        </w:rPr>
      </w:pPr>
      <w:r w:rsidRPr="00F409D4">
        <w:rPr>
          <w:rFonts w:eastAsia="Arial" w:cs="Times New Roman"/>
          <w:i/>
        </w:rPr>
        <w:t xml:space="preserve">In last week’s Bulletin </w:t>
      </w:r>
      <w:r w:rsidR="00F409D4" w:rsidRPr="00F409D4">
        <w:rPr>
          <w:rFonts w:eastAsia="Arial" w:cs="Times New Roman"/>
          <w:i/>
        </w:rPr>
        <w:t>(3/31: 010819)</w:t>
      </w:r>
      <w:r w:rsidRPr="00F409D4">
        <w:rPr>
          <w:rFonts w:eastAsia="Arial" w:cs="Times New Roman"/>
          <w:i/>
        </w:rPr>
        <w:t xml:space="preserve"> Cummins commented on </w:t>
      </w:r>
      <w:r w:rsidR="00F409D4" w:rsidRPr="00F409D4">
        <w:rPr>
          <w:rFonts w:eastAsia="Arial" w:cs="Times New Roman"/>
          <w:i/>
        </w:rPr>
        <w:t>Brown &amp; Rohrer (2019)</w:t>
      </w:r>
      <w:r w:rsidR="00F409D4">
        <w:rPr>
          <w:rFonts w:eastAsia="Arial" w:cs="Times New Roman"/>
          <w:i/>
        </w:rPr>
        <w:t>,</w:t>
      </w:r>
      <w:r w:rsidR="00F409D4" w:rsidRPr="00F409D4">
        <w:rPr>
          <w:rFonts w:eastAsia="Arial" w:cs="Times New Roman"/>
          <w:i/>
        </w:rPr>
        <w:t xml:space="preserve"> which is a critique of  </w:t>
      </w:r>
      <w:r w:rsidR="00F409D4" w:rsidRPr="00F409D4">
        <w:rPr>
          <w:rFonts w:eastAsia="Arial" w:cs="Times New Roman"/>
          <w:i/>
        </w:rPr>
        <w:fldChar w:fldCharType="begin"/>
      </w:r>
      <w:r w:rsidR="004504EB">
        <w:rPr>
          <w:rFonts w:eastAsia="Arial" w:cs="Times New Roman"/>
          <w:i/>
        </w:rPr>
        <w:instrText xml:space="preserve"> ADDIN EN.CITE &lt;EndNote&gt;&lt;Cite AuthorYear="1"&gt;&lt;Author&gt;Lyubomirsky&lt;/Author&gt;&lt;Year&gt;2005&lt;/Year&gt;&lt;RecNum&gt;482&lt;/RecNum&gt;&lt;DisplayText&gt;Lyubomirsky, Sheldon, and Schkade (2005)&lt;/DisplayText&gt;&lt;record&gt;&lt;rec-number&gt;482&lt;/rec-number&gt;&lt;foreign-keys&gt;&lt;key app="EN" db-id="z2xarpe9cfrvp4ezdxk5ddx9dsrzr05f22sa" timestamp="1343947764"&gt;482&lt;/key&gt;&lt;/foreign-keys&gt;&lt;ref-type name="Journal Article"&gt;17&lt;/ref-type&gt;&lt;contributors&gt;&lt;authors&gt;&lt;author&gt;Lyubomirsky, S.&lt;/author&gt;&lt;author&gt;Sheldon, K. M.&lt;/author&gt;&lt;author&gt;Schkade, D.&lt;/author&gt;&lt;/authors&gt;&lt;/contributors&gt;&lt;titles&gt;&lt;title&gt;Pursuing happiness: the architecture of sustainable change&lt;/title&gt;&lt;secondary-title&gt;Review of General Psychology&lt;/secondary-title&gt;&lt;/titles&gt;&lt;periodical&gt;&lt;full-title&gt;Review of General Psychology&lt;/full-title&gt;&lt;/periodical&gt;&lt;pages&gt;111-131&lt;/pages&gt;&lt;volume&gt;9&lt;/volume&gt;&lt;dates&gt;&lt;year&gt;2005&lt;/year&gt;&lt;/dates&gt;&lt;urls&gt;&lt;/urls&gt;&lt;/record&gt;&lt;/Cite&gt;&lt;/EndNote&gt;</w:instrText>
      </w:r>
      <w:r w:rsidR="00F409D4" w:rsidRPr="00F409D4">
        <w:rPr>
          <w:rFonts w:eastAsia="Arial" w:cs="Times New Roman"/>
          <w:i/>
        </w:rPr>
        <w:fldChar w:fldCharType="separate"/>
      </w:r>
      <w:r w:rsidR="004504EB">
        <w:rPr>
          <w:rFonts w:eastAsia="Arial" w:cs="Times New Roman"/>
          <w:i/>
          <w:noProof/>
        </w:rPr>
        <w:t>Lyubomirsky, Sheldon, and Schkade (2005)</w:t>
      </w:r>
      <w:r w:rsidR="00F409D4" w:rsidRPr="00F409D4">
        <w:rPr>
          <w:rFonts w:eastAsia="Arial" w:cs="Times New Roman"/>
          <w:i/>
        </w:rPr>
        <w:fldChar w:fldCharType="end"/>
      </w:r>
      <w:r w:rsidR="00F409D4" w:rsidRPr="00F409D4">
        <w:rPr>
          <w:rFonts w:eastAsia="Arial" w:cs="Times New Roman"/>
          <w:i/>
        </w:rPr>
        <w:t xml:space="preserve">. These </w:t>
      </w:r>
      <w:r w:rsidR="00A0125F">
        <w:rPr>
          <w:rFonts w:eastAsia="Arial" w:cs="Times New Roman"/>
          <w:i/>
        </w:rPr>
        <w:t>earlier</w:t>
      </w:r>
      <w:r w:rsidR="00F409D4">
        <w:rPr>
          <w:rFonts w:eastAsia="Arial" w:cs="Times New Roman"/>
          <w:i/>
        </w:rPr>
        <w:t xml:space="preserve"> </w:t>
      </w:r>
      <w:r w:rsidR="00F409D4" w:rsidRPr="00F409D4">
        <w:rPr>
          <w:rFonts w:eastAsia="Arial" w:cs="Times New Roman"/>
          <w:i/>
        </w:rPr>
        <w:t xml:space="preserve">comments </w:t>
      </w:r>
      <w:proofErr w:type="spellStart"/>
      <w:r w:rsidR="00F409D4" w:rsidRPr="00F409D4">
        <w:rPr>
          <w:rFonts w:eastAsia="Arial" w:cs="Times New Roman"/>
          <w:i/>
        </w:rPr>
        <w:t>form</w:t>
      </w:r>
      <w:proofErr w:type="spellEnd"/>
      <w:r w:rsidR="00F409D4" w:rsidRPr="00F409D4">
        <w:rPr>
          <w:rFonts w:eastAsia="Arial" w:cs="Times New Roman"/>
          <w:i/>
        </w:rPr>
        <w:t xml:space="preserve"> the attachment. Continued discussion contributed by Valerie Molle</w:t>
      </w:r>
      <w:r w:rsidR="00F409D4">
        <w:rPr>
          <w:rFonts w:eastAsia="Arial" w:cs="Times New Roman"/>
          <w:i/>
        </w:rPr>
        <w:t xml:space="preserve">r </w:t>
      </w:r>
      <w:r w:rsidR="00F409D4" w:rsidRPr="00F409D4">
        <w:rPr>
          <w:rFonts w:eastAsia="Arial" w:cs="Times New Roman"/>
          <w:i/>
        </w:rPr>
        <w:t xml:space="preserve">&lt;V.Moller@ru.ac.za&gt; is </w:t>
      </w:r>
      <w:r w:rsidR="00A0125F">
        <w:rPr>
          <w:rFonts w:eastAsia="Arial" w:cs="Times New Roman"/>
          <w:i/>
        </w:rPr>
        <w:t>as follows:</w:t>
      </w:r>
      <w:r w:rsidR="00F409D4" w:rsidRPr="00F409D4">
        <w:rPr>
          <w:rFonts w:eastAsia="Arial" w:cs="Times New Roman"/>
          <w:i/>
        </w:rPr>
        <w:t xml:space="preserve"> </w:t>
      </w:r>
    </w:p>
    <w:p w:rsidR="00F409D4" w:rsidRDefault="00F409D4" w:rsidP="00284041">
      <w:pPr>
        <w:rPr>
          <w:rFonts w:eastAsia="Arial" w:cs="Times New Roman"/>
          <w:bCs/>
          <w:i/>
          <w:lang w:val="en-US"/>
        </w:rPr>
      </w:pPr>
    </w:p>
    <w:p w:rsidR="00A0125F" w:rsidRPr="00A0125F" w:rsidRDefault="00A0125F" w:rsidP="00A0125F">
      <w:pPr>
        <w:rPr>
          <w:rFonts w:eastAsia="Calibri" w:cs="Times New Roman"/>
        </w:rPr>
      </w:pPr>
      <w:r w:rsidRPr="00A0125F">
        <w:rPr>
          <w:rFonts w:eastAsia="Calibri" w:cs="Times New Roman"/>
        </w:rPr>
        <w:t xml:space="preserve">“For some time, I’ve been dismayed to see the increasing popularisation of happiness and human well-being studies. And wonder if this is a good or bad thing. The science pages in mainstream newspapers, including the NY Times, which we read while in France in the international edition, have included items along the lines of how ordinary people can increase their well-being or happiness.  And what really gets me is that the French tobacco shops where people buy their hard copy newspapers and news magazines (and popular ones), have a magazine with the title:  </w:t>
      </w:r>
      <w:proofErr w:type="spellStart"/>
      <w:r w:rsidRPr="00A0125F">
        <w:rPr>
          <w:rFonts w:eastAsia="Calibri" w:cs="Times New Roman"/>
        </w:rPr>
        <w:t>Happinez</w:t>
      </w:r>
      <w:proofErr w:type="spellEnd"/>
      <w:r w:rsidRPr="00A0125F">
        <w:rPr>
          <w:rFonts w:eastAsia="Calibri" w:cs="Times New Roman"/>
        </w:rPr>
        <w:t xml:space="preserve">, with a z. I see it is all about wellness issues.  And, among the magazines, I saw a critical one where a headline referred to something like ‘are we being dictated to by the happiness industry’. The French are born philosophers and love to dissect issues at length. What really got me, was when I mentioned to a neighbour in France that I was going to participate in a quality of life conference in Innsbruck, she thought it was a spa!  So that set me thinking. I’d need to find a different definition of our/my field of scientific (might not be that scientific in my case, but I’m still curious!) research in future. </w:t>
      </w:r>
    </w:p>
    <w:p w:rsidR="00A0125F" w:rsidRPr="00A0125F" w:rsidRDefault="00A0125F" w:rsidP="00A0125F">
      <w:pPr>
        <w:rPr>
          <w:rFonts w:eastAsia="Calibri" w:cs="Times New Roman"/>
        </w:rPr>
      </w:pPr>
    </w:p>
    <w:p w:rsidR="00A0125F" w:rsidRPr="00A0125F" w:rsidRDefault="00A0125F" w:rsidP="00A0125F">
      <w:pPr>
        <w:rPr>
          <w:rFonts w:eastAsia="Calibri" w:cs="Times New Roman"/>
        </w:rPr>
      </w:pPr>
      <w:r w:rsidRPr="00A0125F">
        <w:rPr>
          <w:rFonts w:eastAsia="Calibri" w:cs="Times New Roman"/>
        </w:rPr>
        <w:t xml:space="preserve">And even in South Africa, mindfulness, which is surely not a bad thing, has taken off. A fellow academic dropped by my university office last year and wanted to introduce me to the practice. ... Incidentally, I came across a working paper that suggested future life satisfaction affected present life satisfaction among some individuals in the SOEP panel study. I thought that intriguing seeing that, on average, Africans in sub-Saharan countries tend to be more positive about the future than their present lives. </w:t>
      </w:r>
      <w:proofErr w:type="gramStart"/>
      <w:r w:rsidRPr="00A0125F">
        <w:rPr>
          <w:rFonts w:eastAsia="Calibri" w:cs="Times New Roman"/>
        </w:rPr>
        <w:t>So</w:t>
      </w:r>
      <w:proofErr w:type="gramEnd"/>
      <w:r w:rsidRPr="00A0125F">
        <w:rPr>
          <w:rFonts w:eastAsia="Calibri" w:cs="Times New Roman"/>
        </w:rPr>
        <w:t xml:space="preserve"> there might be better prospects for Africans ‘waiting for happiness’, the title of a Mauritanian hit song. </w:t>
      </w:r>
    </w:p>
    <w:p w:rsidR="00A0125F" w:rsidRPr="00A0125F" w:rsidRDefault="00A0125F" w:rsidP="00A0125F">
      <w:pPr>
        <w:rPr>
          <w:rFonts w:eastAsia="Calibri" w:cs="Times New Roman"/>
        </w:rPr>
      </w:pPr>
    </w:p>
    <w:p w:rsidR="00A0125F" w:rsidRPr="00A0125F" w:rsidRDefault="00A0125F" w:rsidP="00A0125F">
      <w:pPr>
        <w:rPr>
          <w:rFonts w:eastAsia="Calibri" w:cs="Times New Roman"/>
        </w:rPr>
      </w:pPr>
      <w:r w:rsidRPr="00A0125F">
        <w:rPr>
          <w:rFonts w:eastAsia="Calibri" w:cs="Times New Roman"/>
        </w:rPr>
        <w:t xml:space="preserve">In short, is this popularisation of happiness good or bad for our discipline? I’ve been wanting to ask what you and colleagues like Alex </w:t>
      </w:r>
      <w:proofErr w:type="spellStart"/>
      <w:r w:rsidRPr="00A0125F">
        <w:rPr>
          <w:rFonts w:eastAsia="Calibri" w:cs="Times New Roman"/>
        </w:rPr>
        <w:t>Michalos</w:t>
      </w:r>
      <w:proofErr w:type="spellEnd"/>
      <w:r w:rsidRPr="00A0125F">
        <w:rPr>
          <w:rFonts w:eastAsia="Calibri" w:cs="Times New Roman"/>
        </w:rPr>
        <w:t xml:space="preserve"> and Ken Land, who have recently started the discussion on the next 50 years of social indicators, happiness and human well-being research. Way back, you lamented that we’d not found a common label for our field, as has Ed </w:t>
      </w:r>
      <w:proofErr w:type="spellStart"/>
      <w:r w:rsidRPr="00A0125F">
        <w:rPr>
          <w:rFonts w:eastAsia="Calibri" w:cs="Times New Roman"/>
        </w:rPr>
        <w:t>Diener</w:t>
      </w:r>
      <w:proofErr w:type="spellEnd"/>
      <w:r w:rsidRPr="00A0125F">
        <w:rPr>
          <w:rFonts w:eastAsia="Calibri" w:cs="Times New Roman"/>
        </w:rPr>
        <w:t xml:space="preserve"> and others. I think the popularisation trend fits with our era, which celebrates individual identity (see political scientist, Fukuyama’s recent book on the subject).” </w:t>
      </w:r>
    </w:p>
    <w:p w:rsidR="00A0125F" w:rsidRPr="00A0125F" w:rsidRDefault="00A0125F" w:rsidP="00A0125F">
      <w:pPr>
        <w:rPr>
          <w:rFonts w:eastAsia="Calibri" w:cs="Times New Roman"/>
        </w:rPr>
      </w:pPr>
    </w:p>
    <w:p w:rsidR="00A0125F" w:rsidRPr="00A0125F" w:rsidRDefault="00A0125F" w:rsidP="00A0125F">
      <w:pPr>
        <w:rPr>
          <w:rFonts w:eastAsia="Calibri" w:cs="Times New Roman"/>
          <w:b/>
        </w:rPr>
      </w:pPr>
      <w:r w:rsidRPr="00A0125F">
        <w:rPr>
          <w:rFonts w:eastAsia="Calibri" w:cs="Times New Roman"/>
          <w:b/>
        </w:rPr>
        <w:t>Cummins replies:</w:t>
      </w:r>
    </w:p>
    <w:p w:rsidR="00A0125F" w:rsidRPr="00A0125F" w:rsidRDefault="00A0125F" w:rsidP="00A0125F">
      <w:pPr>
        <w:rPr>
          <w:rFonts w:eastAsia="Calibri" w:cs="Times New Roman"/>
        </w:rPr>
      </w:pPr>
      <w:r w:rsidRPr="00A0125F">
        <w:rPr>
          <w:rFonts w:eastAsia="Calibri" w:cs="Times New Roman"/>
        </w:rPr>
        <w:t>There are three issues raised by Valerie that I would like to discuss as:</w:t>
      </w:r>
      <w:r>
        <w:rPr>
          <w:rFonts w:eastAsia="Calibri" w:cs="Times New Roman"/>
        </w:rPr>
        <w:t xml:space="preserve"> </w:t>
      </w:r>
      <w:r w:rsidRPr="00A0125F">
        <w:rPr>
          <w:rFonts w:eastAsia="Calibri" w:cs="Times New Roman"/>
        </w:rPr>
        <w:t xml:space="preserve">The overall impact of positive psychology and the issue of nomenclature, the link between present and future satisfaction, and mindfulness. </w:t>
      </w:r>
    </w:p>
    <w:p w:rsidR="00A0125F" w:rsidRPr="00A0125F" w:rsidRDefault="00A0125F" w:rsidP="00A0125F">
      <w:pPr>
        <w:rPr>
          <w:rFonts w:eastAsia="Calibri" w:cs="Times New Roman"/>
        </w:rPr>
      </w:pPr>
    </w:p>
    <w:p w:rsidR="00A0125F" w:rsidRPr="00A0125F" w:rsidRDefault="00A0125F" w:rsidP="00A0125F">
      <w:pPr>
        <w:rPr>
          <w:rFonts w:eastAsia="Calibri" w:cs="Times New Roman"/>
          <w:i/>
        </w:rPr>
      </w:pPr>
      <w:r w:rsidRPr="00A0125F">
        <w:rPr>
          <w:rFonts w:eastAsia="Calibri" w:cs="Times New Roman"/>
          <w:i/>
        </w:rPr>
        <w:t>Positive psychology</w:t>
      </w:r>
    </w:p>
    <w:p w:rsidR="00A0125F" w:rsidRPr="00A0125F" w:rsidRDefault="00A0125F" w:rsidP="00A0125F">
      <w:pPr>
        <w:rPr>
          <w:rFonts w:eastAsia="Calibri" w:cs="Times New Roman"/>
        </w:rPr>
      </w:pPr>
      <w:r w:rsidRPr="00A0125F">
        <w:rPr>
          <w:rFonts w:eastAsia="Calibri" w:cs="Times New Roman"/>
        </w:rPr>
        <w:t xml:space="preserve">“Is the popularisation of happiness a good or bad thing” Valerie is ambivalent, and so am I. There was a time, not so long ago, </w:t>
      </w:r>
      <w:r w:rsidR="002063E6">
        <w:rPr>
          <w:rFonts w:eastAsia="Calibri" w:cs="Times New Roman"/>
        </w:rPr>
        <w:t xml:space="preserve">when </w:t>
      </w:r>
      <w:r w:rsidRPr="00A0125F">
        <w:rPr>
          <w:rFonts w:eastAsia="Calibri" w:cs="Times New Roman"/>
        </w:rPr>
        <w:t xml:space="preserve">psychology was </w:t>
      </w:r>
      <w:r w:rsidR="002063E6" w:rsidRPr="00A0125F">
        <w:rPr>
          <w:rFonts w:eastAsia="Calibri" w:cs="Times New Roman"/>
        </w:rPr>
        <w:t>considered</w:t>
      </w:r>
      <w:r w:rsidR="002063E6">
        <w:rPr>
          <w:rFonts w:eastAsia="Calibri" w:cs="Times New Roman"/>
        </w:rPr>
        <w:t xml:space="preserve"> </w:t>
      </w:r>
      <w:r w:rsidRPr="00A0125F">
        <w:rPr>
          <w:rFonts w:eastAsia="Calibri" w:cs="Times New Roman"/>
        </w:rPr>
        <w:t xml:space="preserve">a ‘dismal science’. Rats, stats, and mental disorders. This started to change when </w:t>
      </w:r>
      <w:r w:rsidRPr="00A0125F">
        <w:rPr>
          <w:rFonts w:eastAsia="Calibri" w:cs="Times New Roman"/>
        </w:rPr>
        <w:fldChar w:fldCharType="begin"/>
      </w:r>
      <w:r w:rsidRPr="00A0125F">
        <w:rPr>
          <w:rFonts w:eastAsia="Calibri" w:cs="Times New Roman"/>
        </w:rPr>
        <w:instrText xml:space="preserve"> ADDIN EN.CITE &lt;EndNote&gt;&lt;Cite AuthorYear="1"&gt;&lt;Author&gt;Seligman&lt;/Author&gt;&lt;Year&gt;2000&lt;/Year&gt;&lt;RecNum&gt;538&lt;/RecNum&gt;&lt;DisplayText&gt;Seligman and Csikszentmihalyi (2000)&lt;/DisplayText&gt;&lt;record&gt;&lt;rec-number&gt;538&lt;/rec-number&gt;&lt;foreign-keys&gt;&lt;key app="EN" db-id="z2xarpe9cfrvp4ezdxk5ddx9dsrzr05f22sa" timestamp="1343947764"&gt;538&lt;/key&gt;&lt;/foreign-keys&gt;&lt;ref-type name="Journal Article"&gt;17&lt;/ref-type&gt;&lt;contributors&gt;&lt;authors&gt;&lt;author&gt;Seligman, M.E.P.&lt;/author&gt;&lt;author&gt;Csikszentmihalyi, M.&lt;/author&gt;&lt;/authors&gt;&lt;/contributors&gt;&lt;titles&gt;&lt;title&gt;Positive psychology: an introduction&lt;/title&gt;&lt;secondary-title&gt;American Psychologist&lt;/secondary-title&gt;&lt;/titles&gt;&lt;periodical&gt;&lt;full-title&gt;American Psychologist&lt;/full-title&gt;&lt;/periodical&gt;&lt;pages&gt;5-15&lt;/pages&gt;&lt;volume&gt;55&lt;/volume&gt;&lt;dates&gt;&lt;year&gt;2000&lt;/year&gt;&lt;/dates&gt;&lt;urls&gt;&lt;/urls&gt;&lt;/record&gt;&lt;/Cite&gt;&lt;/EndNote&gt;</w:instrText>
      </w:r>
      <w:r w:rsidRPr="00A0125F">
        <w:rPr>
          <w:rFonts w:eastAsia="Calibri" w:cs="Times New Roman"/>
        </w:rPr>
        <w:fldChar w:fldCharType="separate"/>
      </w:r>
      <w:r w:rsidRPr="00A0125F">
        <w:rPr>
          <w:rFonts w:eastAsia="Calibri" w:cs="Times New Roman"/>
          <w:noProof/>
        </w:rPr>
        <w:t>Seligman and Csikszentmihalyi (2000)</w:t>
      </w:r>
      <w:r w:rsidRPr="00A0125F">
        <w:rPr>
          <w:rFonts w:eastAsia="Calibri" w:cs="Times New Roman"/>
        </w:rPr>
        <w:fldChar w:fldCharType="end"/>
      </w:r>
      <w:r w:rsidRPr="00A0125F">
        <w:rPr>
          <w:rFonts w:cs="Times New Roman"/>
        </w:rPr>
        <w:t xml:space="preserve"> edited</w:t>
      </w:r>
      <w:r w:rsidRPr="00A0125F">
        <w:rPr>
          <w:rFonts w:cs="Times New Roman"/>
          <w:sz w:val="19"/>
          <w:szCs w:val="19"/>
        </w:rPr>
        <w:t xml:space="preserve"> </w:t>
      </w:r>
      <w:r w:rsidRPr="00A0125F">
        <w:rPr>
          <w:rFonts w:eastAsia="Calibri" w:cs="Times New Roman"/>
        </w:rPr>
        <w:t xml:space="preserve">Issue 55 of </w:t>
      </w:r>
      <w:r w:rsidRPr="00A0125F">
        <w:rPr>
          <w:rFonts w:eastAsia="Calibri" w:cs="Times New Roman"/>
          <w:i/>
          <w:iCs/>
        </w:rPr>
        <w:t xml:space="preserve">American Psychologist. </w:t>
      </w:r>
      <w:r w:rsidRPr="00A0125F">
        <w:rPr>
          <w:rFonts w:eastAsia="Calibri" w:cs="Times New Roman"/>
        </w:rPr>
        <w:t xml:space="preserve">In the issue's introduction, their description of positive psychology (p. 5) describes the universe of positive psychology constructs. Their description heralded a major new disciplinary direction, not only attractive to social scientists and economists, but also to the world media. </w:t>
      </w:r>
    </w:p>
    <w:p w:rsidR="00A0125F" w:rsidRPr="00A0125F" w:rsidRDefault="00A0125F" w:rsidP="00A0125F">
      <w:pPr>
        <w:rPr>
          <w:rFonts w:eastAsia="Calibri" w:cs="Times New Roman"/>
        </w:rPr>
      </w:pPr>
      <w:r w:rsidRPr="00A0125F">
        <w:rPr>
          <w:rFonts w:eastAsia="Calibri" w:cs="Times New Roman"/>
        </w:rPr>
        <w:t xml:space="preserve">The resulting flood of attention certainly lifted the public profile of psychology into more positive territory. It has also damaged psychological science. New terms have been </w:t>
      </w:r>
      <w:r w:rsidRPr="00A0125F">
        <w:rPr>
          <w:rFonts w:eastAsia="Calibri" w:cs="Times New Roman"/>
        </w:rPr>
        <w:lastRenderedPageBreak/>
        <w:t>popularised whose measures have no clear discriminant validity, high-order statistics are commonly used to create fishing expeditions rather than for theory testing, and correlations are commonly interpreted as causal</w:t>
      </w:r>
      <w:r>
        <w:rPr>
          <w:rFonts w:eastAsia="Calibri" w:cs="Times New Roman"/>
        </w:rPr>
        <w:t>. The end-</w:t>
      </w:r>
      <w:r w:rsidRPr="00A0125F">
        <w:rPr>
          <w:rFonts w:eastAsia="Calibri" w:cs="Times New Roman"/>
        </w:rPr>
        <w:t xml:space="preserve">result has been the creation of a literature full of nice sounding but meaningless terms, complex analyses </w:t>
      </w:r>
      <w:r>
        <w:rPr>
          <w:rFonts w:eastAsia="Calibri" w:cs="Times New Roman"/>
        </w:rPr>
        <w:t>that can never be replicated</w:t>
      </w:r>
      <w:r w:rsidRPr="00A0125F">
        <w:rPr>
          <w:rFonts w:eastAsia="Calibri" w:cs="Times New Roman"/>
        </w:rPr>
        <w:t xml:space="preserve"> and</w:t>
      </w:r>
      <w:r>
        <w:rPr>
          <w:rFonts w:eastAsia="Calibri" w:cs="Times New Roman"/>
        </w:rPr>
        <w:t>,</w:t>
      </w:r>
      <w:r w:rsidRPr="00A0125F">
        <w:rPr>
          <w:rFonts w:eastAsia="Calibri" w:cs="Times New Roman"/>
        </w:rPr>
        <w:t xml:space="preserve"> therefore</w:t>
      </w:r>
      <w:r>
        <w:rPr>
          <w:rFonts w:eastAsia="Calibri" w:cs="Times New Roman"/>
        </w:rPr>
        <w:t>,</w:t>
      </w:r>
      <w:r w:rsidRPr="00A0125F">
        <w:rPr>
          <w:rFonts w:eastAsia="Calibri" w:cs="Times New Roman"/>
        </w:rPr>
        <w:t xml:space="preserve"> never falsified, and conclusions of causation that are invalid. Bring back the t-test!</w:t>
      </w:r>
    </w:p>
    <w:p w:rsidR="00A0125F" w:rsidRPr="00A0125F" w:rsidRDefault="00A0125F" w:rsidP="00A0125F">
      <w:pPr>
        <w:rPr>
          <w:rFonts w:eastAsia="Calibri" w:cs="Times New Roman"/>
        </w:rPr>
      </w:pPr>
    </w:p>
    <w:p w:rsidR="00A0125F" w:rsidRPr="00A0125F" w:rsidRDefault="00A0125F" w:rsidP="00A0125F">
      <w:pPr>
        <w:rPr>
          <w:rFonts w:eastAsia="Calibri" w:cs="Times New Roman"/>
          <w:i/>
        </w:rPr>
      </w:pPr>
      <w:r w:rsidRPr="00A0125F">
        <w:rPr>
          <w:rFonts w:eastAsia="Calibri" w:cs="Times New Roman"/>
          <w:i/>
        </w:rPr>
        <w:t>Present/future life satisfaction</w:t>
      </w:r>
    </w:p>
    <w:p w:rsidR="00A0125F" w:rsidRPr="00A0125F" w:rsidRDefault="00A0125F" w:rsidP="00A0125F">
      <w:pPr>
        <w:rPr>
          <w:rFonts w:eastAsia="Calibri" w:cs="Times New Roman"/>
        </w:rPr>
      </w:pPr>
      <w:r w:rsidRPr="00A0125F">
        <w:rPr>
          <w:rFonts w:eastAsia="Calibri" w:cs="Times New Roman"/>
        </w:rPr>
        <w:t xml:space="preserve">Valerie notes that, on average, Africans in sub-Saharan countries tend to be more positive about their future than their present lives. Indeed so, and this is the human condition. The mechanism responsible for this phenomenon may be understood as follows. </w:t>
      </w:r>
    </w:p>
    <w:p w:rsidR="00A0125F" w:rsidRPr="00A0125F" w:rsidRDefault="00A0125F" w:rsidP="00A0125F">
      <w:pPr>
        <w:rPr>
          <w:rFonts w:eastAsia="Calibri" w:cs="Times New Roman"/>
        </w:rPr>
      </w:pPr>
      <w:r w:rsidRPr="00A0125F">
        <w:rPr>
          <w:rFonts w:eastAsia="Calibri" w:cs="Times New Roman"/>
        </w:rPr>
        <w:t xml:space="preserve">(a) The </w:t>
      </w:r>
      <w:proofErr w:type="spellStart"/>
      <w:r w:rsidRPr="00A0125F">
        <w:rPr>
          <w:rFonts w:eastAsia="Calibri" w:cs="Times New Roman"/>
        </w:rPr>
        <w:t>setpoints</w:t>
      </w:r>
      <w:proofErr w:type="spellEnd"/>
      <w:r w:rsidRPr="00A0125F">
        <w:rPr>
          <w:rFonts w:eastAsia="Calibri" w:cs="Times New Roman"/>
        </w:rPr>
        <w:t xml:space="preserve"> for </w:t>
      </w:r>
      <w:proofErr w:type="spellStart"/>
      <w:r w:rsidRPr="00A0125F">
        <w:rPr>
          <w:rFonts w:eastAsia="Calibri" w:cs="Times New Roman"/>
        </w:rPr>
        <w:t>Homeostatically</w:t>
      </w:r>
      <w:proofErr w:type="spellEnd"/>
      <w:r w:rsidRPr="00A0125F">
        <w:rPr>
          <w:rFonts w:eastAsia="Calibri" w:cs="Times New Roman"/>
        </w:rPr>
        <w:t xml:space="preserve"> Protected Mood (HPMood) are distributed within the general population between 70 to 90 percentage points (pp) on a 0-100pp scale from no positive feelings to very high positive feelings </w:t>
      </w:r>
      <w:r w:rsidRPr="00A0125F">
        <w:rPr>
          <w:rFonts w:eastAsia="Calibri" w:cs="Times New Roman"/>
        </w:rPr>
        <w:fldChar w:fldCharType="begin"/>
      </w:r>
      <w:r w:rsidR="00A90F10">
        <w:rPr>
          <w:rFonts w:eastAsia="Calibri" w:cs="Times New Roman"/>
        </w:rPr>
        <w:instrText xml:space="preserve"> ADDIN EN.CITE &lt;EndNote&gt;&lt;Cite&gt;&lt;Author&gt;Capic&lt;/Author&gt;&lt;Year&gt;2018&lt;/Year&gt;&lt;RecNum&gt;3195&lt;/RecNum&gt;&lt;DisplayText&gt;(Capic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sidRPr="00A0125F">
        <w:rPr>
          <w:rFonts w:eastAsia="Calibri" w:cs="Times New Roman"/>
        </w:rPr>
        <w:fldChar w:fldCharType="separate"/>
      </w:r>
      <w:r w:rsidR="00A90F10">
        <w:rPr>
          <w:rFonts w:eastAsia="Calibri" w:cs="Times New Roman"/>
          <w:noProof/>
        </w:rPr>
        <w:t>(Capic et al., 2018)</w:t>
      </w:r>
      <w:r w:rsidRPr="00A0125F">
        <w:rPr>
          <w:rFonts w:eastAsia="Calibri" w:cs="Times New Roman"/>
        </w:rPr>
        <w:fldChar w:fldCharType="end"/>
      </w:r>
      <w:r w:rsidRPr="00A0125F">
        <w:rPr>
          <w:rFonts w:eastAsia="Calibri" w:cs="Times New Roman"/>
        </w:rPr>
        <w:t xml:space="preserve">. Thus, people generally feel positive about themselves. </w:t>
      </w:r>
    </w:p>
    <w:p w:rsidR="00A0125F" w:rsidRPr="00A0125F" w:rsidRDefault="00A0125F" w:rsidP="00A0125F">
      <w:pPr>
        <w:rPr>
          <w:rFonts w:eastAsia="Calibri" w:cs="Times New Roman"/>
        </w:rPr>
      </w:pPr>
      <w:r w:rsidRPr="00A0125F">
        <w:rPr>
          <w:rFonts w:eastAsia="Calibri" w:cs="Times New Roman"/>
        </w:rPr>
        <w:t xml:space="preserve">(b) When people are asked to rate their satisfaction with their lives, their answer reflects their single stream of consciousness. This stream has two major components. HPMood is an unchanging, positive, low-energy background affect. Superimposed on this background are emotions, reflecting our affective-cognitive reactions to internal thoughts and the </w:t>
      </w:r>
      <w:proofErr w:type="spellStart"/>
      <w:r w:rsidRPr="00A0125F">
        <w:rPr>
          <w:rFonts w:eastAsia="Calibri" w:cs="Times New Roman"/>
        </w:rPr>
        <w:t>percepts</w:t>
      </w:r>
      <w:proofErr w:type="spellEnd"/>
      <w:r w:rsidRPr="00A0125F">
        <w:rPr>
          <w:rFonts w:eastAsia="Calibri" w:cs="Times New Roman"/>
        </w:rPr>
        <w:t xml:space="preserve"> reflecting our environment. </w:t>
      </w:r>
    </w:p>
    <w:p w:rsidR="00A0125F" w:rsidRPr="00A0125F" w:rsidRDefault="00A0125F" w:rsidP="00A0125F">
      <w:pPr>
        <w:rPr>
          <w:rFonts w:eastAsia="Calibri" w:cs="Times New Roman"/>
        </w:rPr>
      </w:pPr>
      <w:r w:rsidRPr="00A0125F">
        <w:rPr>
          <w:rFonts w:eastAsia="Calibri" w:cs="Times New Roman"/>
        </w:rPr>
        <w:t xml:space="preserve">(c) Emotions are usually stronger than HPMood and are most commonly negative </w:t>
      </w:r>
      <w:r w:rsidRPr="00A0125F">
        <w:rPr>
          <w:rFonts w:eastAsia="Calibri" w:cs="Times New Roman"/>
        </w:rPr>
        <w:fldChar w:fldCharType="begin"/>
      </w:r>
      <w:r w:rsidR="00A90F10">
        <w:rPr>
          <w:rFonts w:eastAsia="Calibri" w:cs="Times New Roman"/>
        </w:rPr>
        <w:instrText xml:space="preserve"> ADDIN EN.CITE &lt;EndNote&gt;&lt;Cite&gt;&lt;Author&gt;Anglim&lt;/Author&gt;&lt;Year&gt;2015&lt;/Year&gt;&lt;RecNum&gt;2262&lt;/RecNum&gt;&lt;DisplayText&gt;(Anglim et al., 2015)&lt;/DisplayText&gt;&lt;record&gt;&lt;rec-number&gt;2262&lt;/rec-number&gt;&lt;foreign-keys&gt;&lt;key app="EN" db-id="z2xarpe9cfrvp4ezdxk5ddx9dsrzr05f22sa" timestamp="1447908722"&gt;2262&lt;/key&gt;&lt;/foreign-keys&gt;&lt;ref-type name="Journal Article"&gt;17&lt;/ref-type&gt;&lt;contributors&gt;&lt;authors&gt;&lt;author&gt;Anglim, J.&lt;/author&gt;&lt;author&gt;Weinberg, Melissa K&lt;/author&gt;&lt;author&gt;Cummins, Robert A&lt;/author&gt;&lt;/authors&gt;&lt;/contributors&gt;&lt;titles&gt;&lt;title&gt;Bayesian hierarchical modeling of the temporal dynamics of subjective well-being: A 10 year longitudinal analysis&lt;/title&gt;&lt;secondary-title&gt;Journal of Research in Personality&lt;/secondary-title&gt;&lt;/titles&gt;&lt;periodical&gt;&lt;full-title&gt;Journal of Research in Personality&lt;/full-title&gt;&lt;/periodical&gt;&lt;pages&gt;1-14&lt;/pages&gt;&lt;volume&gt;59&lt;/volume&gt;&lt;number&gt;3&lt;/number&gt;&lt;dates&gt;&lt;year&gt;2015&lt;/year&gt;&lt;/dates&gt;&lt;isbn&gt;0092-6566&lt;/isbn&gt;&lt;urls&gt;&lt;/urls&gt;&lt;electronic-resource-num&gt;10.1016/j.jrp.2015.08.003&lt;/electronic-resource-num&gt;&lt;/record&gt;&lt;/Cite&gt;&lt;/EndNote&gt;</w:instrText>
      </w:r>
      <w:r w:rsidRPr="00A0125F">
        <w:rPr>
          <w:rFonts w:eastAsia="Calibri" w:cs="Times New Roman"/>
        </w:rPr>
        <w:fldChar w:fldCharType="separate"/>
      </w:r>
      <w:r w:rsidR="00A90F10">
        <w:rPr>
          <w:rFonts w:eastAsia="Calibri" w:cs="Times New Roman"/>
          <w:noProof/>
        </w:rPr>
        <w:t>(Anglim et al., 2015)</w:t>
      </w:r>
      <w:r w:rsidRPr="00A0125F">
        <w:rPr>
          <w:rFonts w:eastAsia="Calibri" w:cs="Times New Roman"/>
        </w:rPr>
        <w:fldChar w:fldCharType="end"/>
      </w:r>
      <w:r w:rsidRPr="00A0125F">
        <w:rPr>
          <w:rFonts w:eastAsia="Calibri" w:cs="Times New Roman"/>
        </w:rPr>
        <w:t xml:space="preserve">. Thus, responses to scales measuring Subjective Wellbeing (SWB) typically lie below the average set-point (80pp). </w:t>
      </w:r>
    </w:p>
    <w:p w:rsidR="00A0125F" w:rsidRPr="00A0125F" w:rsidRDefault="00A0125F" w:rsidP="00A0125F">
      <w:pPr>
        <w:rPr>
          <w:rFonts w:eastAsia="Calibri" w:cs="Times New Roman"/>
        </w:rPr>
      </w:pPr>
      <w:r w:rsidRPr="00A0125F">
        <w:rPr>
          <w:rFonts w:eastAsia="Calibri" w:cs="Times New Roman"/>
        </w:rPr>
        <w:t xml:space="preserve">(d) Within any single response, the momentary balance between HPMood and emotion depends, inter alia, on the level of cognitive engagement generated by the question used to measure SWB. When cognition is weakly engaged, emotions are weakly stimulated, and the SWB response more strongly reflects HPMood </w:t>
      </w:r>
      <w:r w:rsidRPr="00A0125F">
        <w:rPr>
          <w:rFonts w:eastAsia="Calibri" w:cs="Times New Roman"/>
        </w:rPr>
        <w:fldChar w:fldCharType="begin"/>
      </w:r>
      <w:r w:rsidRPr="00A0125F">
        <w:rPr>
          <w:rFonts w:eastAsia="Calibri" w:cs="Times New Roman"/>
        </w:rPr>
        <w:instrText xml:space="preserve"> ADDIN EN.CITE &lt;EndNote&gt;&lt;Cite&gt;&lt;Author&gt;Cummins&lt;/Author&gt;&lt;Year&gt;2018&lt;/Year&gt;&lt;RecNum&gt;2895&lt;/RecNum&gt;&lt;DisplayText&gt;(Cummins et al., 2018)&lt;/DisplayText&gt;&lt;record&gt;&lt;rec-number&gt;2895&lt;/rec-number&gt;&lt;foreign-keys&gt;&lt;key app="EN" db-id="z2xarpe9cfrvp4ezdxk5ddx9dsrzr05f22sa" timestamp="1486353818"&gt;2895&lt;/key&gt;&lt;/foreign-keys&gt;&lt;ref-type name="Journal Article"&gt;17&lt;/ref-type&gt;&lt;contributors&gt;&lt;authors&gt;&lt;author&gt;Cummins, R. A.&lt;/author&gt;&lt;author&gt;Capic, T.&lt;/author&gt;&lt;author&gt;Hutchinson, D.&lt;/author&gt;&lt;author&gt;Fuller-Tyszkiewicz, M.&lt;/author&gt;&lt;author&gt;Olsson, C. A.&lt;/author&gt;&lt;author&gt;Richardson, B.&lt;/author&gt;&lt;/authors&gt;&lt;/contributors&gt;&lt;titles&gt;&lt;title&gt;Why self-report variables inter-correlate: The role of Homeostatically Protected Mood&lt;/title&gt;&lt;secondary-title&gt;Journal of Wellbeing Assessment&lt;/secondary-title&gt;&lt;/titles&gt;&lt;periodical&gt;&lt;full-title&gt;Journal of Wellbeing Assessment&lt;/full-title&gt;&lt;/periodical&gt;&lt;pages&gt;93-114&lt;/pages&gt;&lt;volume&gt;2&lt;/volume&gt;&lt;dates&gt;&lt;year&gt;2018&lt;/year&gt;&lt;/dates&gt;&lt;urls&gt;&lt;/urls&gt;&lt;electronic-resource-num&gt;10.1007/s41543-018-0014-0&lt;/electronic-resource-num&gt;&lt;/record&gt;&lt;/Cite&gt;&lt;/EndNote&gt;</w:instrText>
      </w:r>
      <w:r w:rsidRPr="00A0125F">
        <w:rPr>
          <w:rFonts w:eastAsia="Calibri" w:cs="Times New Roman"/>
        </w:rPr>
        <w:fldChar w:fldCharType="separate"/>
      </w:r>
      <w:r w:rsidRPr="00A0125F">
        <w:rPr>
          <w:rFonts w:eastAsia="Calibri" w:cs="Times New Roman"/>
          <w:noProof/>
        </w:rPr>
        <w:t>(Cummins et al., 2018)</w:t>
      </w:r>
      <w:r w:rsidRPr="00A0125F">
        <w:rPr>
          <w:rFonts w:eastAsia="Calibri" w:cs="Times New Roman"/>
        </w:rPr>
        <w:fldChar w:fldCharType="end"/>
      </w:r>
      <w:r w:rsidRPr="00A0125F">
        <w:rPr>
          <w:rFonts w:eastAsia="Calibri" w:cs="Times New Roman"/>
        </w:rPr>
        <w:t xml:space="preserve">. </w:t>
      </w:r>
    </w:p>
    <w:p w:rsidR="00A0125F" w:rsidRPr="00A0125F" w:rsidRDefault="00A0125F" w:rsidP="00A0125F">
      <w:pPr>
        <w:rPr>
          <w:rFonts w:eastAsia="Calibri" w:cs="Times New Roman"/>
        </w:rPr>
      </w:pPr>
      <w:r w:rsidRPr="00A0125F">
        <w:rPr>
          <w:rFonts w:eastAsia="Calibri" w:cs="Times New Roman"/>
        </w:rPr>
        <w:t>(e) Because the future is unknown, a question about the present “How satisfied are you with your life as a whole” is more cognitively engaging than a similar question about the future “How satisfied with your life will you be in five years?” Thus, due to the greater dominance of HPMood, people tend to be more positive about their future life than their present life. QED.</w:t>
      </w:r>
    </w:p>
    <w:p w:rsidR="00A0125F" w:rsidRPr="00A0125F" w:rsidRDefault="00A0125F" w:rsidP="00A0125F">
      <w:pPr>
        <w:rPr>
          <w:rFonts w:eastAsia="Calibri" w:cs="Times New Roman"/>
        </w:rPr>
      </w:pPr>
    </w:p>
    <w:p w:rsidR="00A0125F" w:rsidRPr="00A0125F" w:rsidRDefault="00A0125F" w:rsidP="00A0125F">
      <w:pPr>
        <w:rPr>
          <w:rFonts w:eastAsia="Calibri" w:cs="Times New Roman"/>
          <w:i/>
        </w:rPr>
      </w:pPr>
      <w:r w:rsidRPr="00A0125F">
        <w:rPr>
          <w:rFonts w:eastAsia="Calibri" w:cs="Times New Roman"/>
          <w:i/>
        </w:rPr>
        <w:t>Mindfulness</w:t>
      </w:r>
    </w:p>
    <w:p w:rsidR="00A0125F" w:rsidRPr="00A0125F" w:rsidRDefault="00A0125F" w:rsidP="00A0125F">
      <w:pPr>
        <w:rPr>
          <w:rFonts w:eastAsia="Arial" w:cs="Times New Roman"/>
        </w:rPr>
      </w:pPr>
      <w:r w:rsidRPr="00A0125F">
        <w:rPr>
          <w:rFonts w:eastAsia="Calibri" w:cs="Times New Roman"/>
        </w:rPr>
        <w:t xml:space="preserve">Valerie refers to mindfulness as ‘surely not a bad thing’. Perhaps this is so, in that the practice seems unlikely to be harmful. But this is also true of the myriad other procedures advocated within positive psychology. More importantly, it cannot form part of mainstream psychology until there is some semblance of scientific understanding about the mindfulness process. A previous issue of </w:t>
      </w:r>
      <w:r w:rsidRPr="00A0125F">
        <w:rPr>
          <w:rFonts w:eastAsia="Arial" w:cs="Times New Roman"/>
        </w:rPr>
        <w:t>ACQOL Bulletin Vol 2/10: 080318</w:t>
      </w:r>
      <w:r w:rsidR="002063E6">
        <w:rPr>
          <w:rFonts w:eastAsia="Arial" w:cs="Times New Roman"/>
        </w:rPr>
        <w:t xml:space="preserve"> [</w:t>
      </w:r>
      <w:r w:rsidR="002063E6" w:rsidRPr="002063E6">
        <w:rPr>
          <w:rFonts w:eastAsia="Arial" w:cs="Times New Roman"/>
          <w:i/>
        </w:rPr>
        <w:t>http://www.acqol.com.au/publications#bulletins</w:t>
      </w:r>
      <w:r w:rsidR="002063E6">
        <w:rPr>
          <w:rFonts w:eastAsia="Arial" w:cs="Times New Roman"/>
        </w:rPr>
        <w:t>]</w:t>
      </w:r>
      <w:r w:rsidRPr="00A0125F">
        <w:rPr>
          <w:rFonts w:eastAsia="Arial" w:cs="Times New Roman"/>
        </w:rPr>
        <w:t xml:space="preserve"> has been devoted to this topic, specifically the excoriating review of mindfulness provided by </w:t>
      </w:r>
      <w:r w:rsidRPr="00A0125F">
        <w:rPr>
          <w:rFonts w:eastAsia="Arial" w:cs="Times New Roman"/>
        </w:rPr>
        <w:fldChar w:fldCharType="begin"/>
      </w:r>
      <w:r w:rsidRPr="00A0125F">
        <w:rPr>
          <w:rFonts w:eastAsia="Arial" w:cs="Times New Roman"/>
        </w:rPr>
        <w:instrText xml:space="preserve"> ADDIN EN.CITE &lt;EndNote&gt;&lt;Cite&gt;&lt;Author&gt;VanDam&lt;/Author&gt;&lt;Year&gt;2018&lt;/Year&gt;&lt;RecNum&gt;3440&lt;/RecNum&gt;&lt;DisplayText&gt;(VanDam et al., 2018)&lt;/DisplayText&gt;&lt;record&gt;&lt;rec-number&gt;3440&lt;/rec-number&gt;&lt;foreign-keys&gt;&lt;key app="EN" db-id="z2xarpe9cfrvp4ezdxk5ddx9dsrzr05f22sa" timestamp="1519016442"&gt;3440&lt;/key&gt;&lt;/foreign-keys&gt;&lt;ref-type name="Journal Article"&gt;17&lt;/ref-type&gt;&lt;contributors&gt;&lt;authors&gt;&lt;author&gt;VanDam, N. T.&lt;/author&gt;&lt;author&gt;van Vugt, Marieke K&lt;/author&gt;&lt;author&gt;Vago, David R&lt;/author&gt;&lt;author&gt;Schmalzl, Laura&lt;/author&gt;&lt;author&gt;Saron, Clifford D&lt;/author&gt;&lt;author&gt;Olendzki, Andrew&lt;/author&gt;&lt;author&gt;Meissner, Ted&lt;/author&gt;&lt;author&gt;Lazar, Sara W&lt;/author&gt;&lt;author&gt;Kerr, Catherine E&lt;/author&gt;&lt;author&gt;Gorchov, Jolie&lt;/author&gt;&lt;/authors&gt;&lt;/contributors&gt;&lt;titles&gt;&lt;title&gt;Mind the hype: A critical evaluation and prescriptive agenda for research on mindfulness and meditation&lt;/title&gt;&lt;secondary-title&gt;Perspectives on Psychological Science&lt;/secondary-title&gt;&lt;/titles&gt;&lt;periodical&gt;&lt;full-title&gt;Perspectives on Psychological Science&lt;/full-title&gt;&lt;/periodical&gt;&lt;pages&gt;36-61&lt;/pages&gt;&lt;volume&gt;13&lt;/volume&gt;&lt;number&gt;1&lt;/number&gt;&lt;dates&gt;&lt;year&gt;2018&lt;/year&gt;&lt;/dates&gt;&lt;isbn&gt;1745-6916&lt;/isbn&gt;&lt;urls&gt;&lt;/urls&gt;&lt;/record&gt;&lt;/Cite&gt;&lt;/EndNote&gt;</w:instrText>
      </w:r>
      <w:r w:rsidRPr="00A0125F">
        <w:rPr>
          <w:rFonts w:eastAsia="Arial" w:cs="Times New Roman"/>
        </w:rPr>
        <w:fldChar w:fldCharType="separate"/>
      </w:r>
      <w:r w:rsidRPr="00A0125F">
        <w:rPr>
          <w:rFonts w:eastAsia="Arial" w:cs="Times New Roman"/>
          <w:noProof/>
        </w:rPr>
        <w:t>(VanDam et al., 2018)</w:t>
      </w:r>
      <w:r w:rsidRPr="00A0125F">
        <w:rPr>
          <w:rFonts w:eastAsia="Arial" w:cs="Times New Roman"/>
        </w:rPr>
        <w:fldChar w:fldCharType="end"/>
      </w:r>
      <w:r w:rsidRPr="00A0125F">
        <w:rPr>
          <w:rFonts w:eastAsia="Arial" w:cs="Times New Roman"/>
        </w:rPr>
        <w:t xml:space="preserve">. </w:t>
      </w:r>
      <w:r w:rsidRPr="00A0125F">
        <w:rPr>
          <w:rFonts w:eastAsia="Times New Roman" w:cs="Times New Roman"/>
          <w:lang w:val="en-US"/>
        </w:rPr>
        <w:t>Subhadra Evans &lt;subhadra.evans@deakin.edu.au&gt; had the last word in our discussion, concluding “</w:t>
      </w:r>
      <w:r w:rsidRPr="00A0125F">
        <w:rPr>
          <w:rFonts w:eastAsia="Arial" w:cs="Times New Roman"/>
          <w:lang w:eastAsia="en-AU"/>
        </w:rPr>
        <w:t>until funding is invested into adequately powered randomized controlled trials, using rigorous methodology, clear definitions, inclusion of meaningful outcomes and systematic examination of adverse events, mindfulness risks being relegated to the pop psychology shelves”.</w:t>
      </w:r>
    </w:p>
    <w:p w:rsidR="00A0125F" w:rsidRPr="00A0125F" w:rsidRDefault="00A0125F" w:rsidP="00A0125F">
      <w:pPr>
        <w:rPr>
          <w:rFonts w:eastAsia="Arial" w:cs="Times New Roman"/>
          <w:lang w:eastAsia="en-AU"/>
        </w:rPr>
      </w:pPr>
    </w:p>
    <w:p w:rsidR="00A0125F" w:rsidRPr="00A0125F" w:rsidRDefault="00A0125F" w:rsidP="00A0125F">
      <w:pPr>
        <w:rPr>
          <w:rFonts w:eastAsia="Times New Roman" w:cs="Times New Roman"/>
          <w:i/>
          <w:lang w:val="en-US"/>
        </w:rPr>
      </w:pPr>
      <w:r w:rsidRPr="00A0125F">
        <w:rPr>
          <w:rFonts w:eastAsia="Arial" w:cs="Times New Roman"/>
          <w:lang w:eastAsia="en-AU"/>
        </w:rPr>
        <w:t xml:space="preserve">But, just possibly, Homeostasis theory as described may provide a scientific lead into the </w:t>
      </w:r>
      <w:r w:rsidR="00172765">
        <w:rPr>
          <w:rFonts w:eastAsia="Arial" w:cs="Times New Roman"/>
          <w:lang w:eastAsia="en-AU"/>
        </w:rPr>
        <w:t xml:space="preserve">mindfulness </w:t>
      </w:r>
      <w:r w:rsidRPr="00A0125F">
        <w:rPr>
          <w:rFonts w:eastAsia="Arial" w:cs="Times New Roman"/>
          <w:lang w:eastAsia="en-AU"/>
        </w:rPr>
        <w:t>mechanism. Consider</w:t>
      </w:r>
      <w:r w:rsidR="002063E6">
        <w:rPr>
          <w:rFonts w:eastAsia="Arial" w:cs="Times New Roman"/>
          <w:lang w:eastAsia="en-AU"/>
        </w:rPr>
        <w:t xml:space="preserve"> the possibility</w:t>
      </w:r>
      <w:r w:rsidRPr="00A0125F">
        <w:rPr>
          <w:rFonts w:eastAsia="Arial" w:cs="Times New Roman"/>
          <w:lang w:eastAsia="en-AU"/>
        </w:rPr>
        <w:t xml:space="preserve"> that the practice of mindfulness and other versions of meditation have a common goal. This is to reduce as far as possible the emotion content in the stream of consciousness (see above). Then, once emotion has been eliminated, </w:t>
      </w:r>
      <w:r w:rsidRPr="00A0125F">
        <w:rPr>
          <w:rFonts w:eastAsia="Arial" w:cs="Times New Roman"/>
          <w:lang w:eastAsia="en-AU"/>
        </w:rPr>
        <w:lastRenderedPageBreak/>
        <w:t>HPMood dominates</w:t>
      </w:r>
      <w:r w:rsidR="0038263B">
        <w:rPr>
          <w:rFonts w:eastAsia="Arial" w:cs="Times New Roman"/>
          <w:lang w:eastAsia="en-AU"/>
        </w:rPr>
        <w:t xml:space="preserve"> the stream</w:t>
      </w:r>
      <w:r w:rsidRPr="00A0125F">
        <w:rPr>
          <w:rFonts w:eastAsia="Arial" w:cs="Times New Roman"/>
          <w:lang w:eastAsia="en-AU"/>
        </w:rPr>
        <w:t>, and conscious experience comprises an affective amalgam of contentment, happiness, and alertness. Could it be that science has characterised nirvana?</w:t>
      </w:r>
    </w:p>
    <w:p w:rsidR="00F409D4" w:rsidRPr="00F409D4" w:rsidRDefault="00F409D4" w:rsidP="00284041">
      <w:pPr>
        <w:rPr>
          <w:rFonts w:eastAsia="Arial" w:cs="Times New Roman"/>
          <w:b/>
        </w:rPr>
      </w:pPr>
    </w:p>
    <w:p w:rsidR="00284041" w:rsidRPr="001947D6" w:rsidRDefault="00284041" w:rsidP="00284041">
      <w:pPr>
        <w:rPr>
          <w:rFonts w:eastAsia="Arial" w:cs="Times New Roman"/>
        </w:rPr>
      </w:pPr>
      <w:r w:rsidRPr="001947D6">
        <w:rPr>
          <w:rFonts w:eastAsia="Arial" w:cs="Times New Roman"/>
          <w:b/>
        </w:rPr>
        <w:t>References:</w:t>
      </w:r>
      <w:r w:rsidRPr="001947D6">
        <w:rPr>
          <w:rFonts w:eastAsia="Arial" w:cs="Times New Roman"/>
        </w:rPr>
        <w:t xml:space="preserve"> </w:t>
      </w:r>
      <w:r w:rsidRPr="001947D6">
        <w:rPr>
          <w:rFonts w:eastAsia="Arial" w:cs="Times New Roman"/>
          <w:i/>
        </w:rPr>
        <w:t>See end of Bulletin.</w:t>
      </w:r>
    </w:p>
    <w:p w:rsidR="00284041" w:rsidRPr="00BB5D46" w:rsidRDefault="00284041" w:rsidP="00A0125F">
      <w:pPr>
        <w:rPr>
          <w:rFonts w:eastAsia="Arial" w:cs="Times New Roman"/>
          <w:i/>
        </w:rPr>
      </w:pPr>
    </w:p>
    <w:p w:rsidR="00284041" w:rsidRPr="00BB5D46" w:rsidRDefault="00284041" w:rsidP="00284041">
      <w:pPr>
        <w:jc w:val="center"/>
        <w:rPr>
          <w:rFonts w:eastAsia="Arial" w:cs="Times New Roman"/>
          <w:i/>
        </w:rPr>
      </w:pPr>
      <w:r w:rsidRPr="00BB5D46">
        <w:rPr>
          <w:rFonts w:eastAsia="Arial" w:cs="Times New Roman"/>
          <w:i/>
        </w:rPr>
        <w:t xml:space="preserve">Further discussion of </w:t>
      </w:r>
      <w:r w:rsidR="00A0125F">
        <w:rPr>
          <w:rFonts w:eastAsia="Arial" w:cs="Times New Roman"/>
          <w:i/>
        </w:rPr>
        <w:t>these matters,</w:t>
      </w:r>
      <w:r w:rsidRPr="00BB5D46">
        <w:rPr>
          <w:rFonts w:eastAsia="Arial" w:cs="Times New Roman"/>
          <w:i/>
        </w:rPr>
        <w:t xml:space="preserve"> for circulation to members, is invited. Send to: </w:t>
      </w:r>
      <w:hyperlink r:id="rId169" w:history="1">
        <w:r w:rsidRPr="00BB5D46">
          <w:rPr>
            <w:rFonts w:eastAsia="Arial" w:cs="Times New Roman"/>
            <w:i/>
            <w:color w:val="0563C1"/>
            <w:u w:val="single"/>
          </w:rPr>
          <w:t>robert.cummins@deakin.edu.au</w:t>
        </w:r>
      </w:hyperlink>
    </w:p>
    <w:p w:rsidR="00284041" w:rsidRPr="00BB5D46" w:rsidRDefault="00284041" w:rsidP="00284041">
      <w:pPr>
        <w:jc w:val="center"/>
        <w:rPr>
          <w:rFonts w:eastAsia="Arial" w:cs="Times New Roman"/>
          <w:i/>
        </w:rPr>
      </w:pPr>
      <w:r w:rsidRPr="00BB5D46">
        <w:rPr>
          <w:rFonts w:eastAsia="Arial" w:cs="Times New Roman"/>
          <w:i/>
        </w:rPr>
        <w:t xml:space="preserve">Substantive comments received by midnight on </w:t>
      </w:r>
      <w:r w:rsidRPr="00A0125F">
        <w:rPr>
          <w:rFonts w:eastAsia="Arial" w:cs="Times New Roman"/>
          <w:i/>
        </w:rPr>
        <w:t xml:space="preserve">Monday </w:t>
      </w:r>
      <w:r w:rsidR="00A0125F" w:rsidRPr="00A0125F">
        <w:rPr>
          <w:rFonts w:eastAsia="Arial" w:cs="Times New Roman"/>
          <w:i/>
        </w:rPr>
        <w:t>12</w:t>
      </w:r>
      <w:r w:rsidR="00A0125F" w:rsidRPr="00A0125F">
        <w:rPr>
          <w:rFonts w:eastAsia="Arial" w:cs="Times New Roman"/>
          <w:i/>
          <w:vertAlign w:val="superscript"/>
        </w:rPr>
        <w:t>th</w:t>
      </w:r>
      <w:r w:rsidR="00A0125F" w:rsidRPr="00A0125F">
        <w:rPr>
          <w:rFonts w:eastAsia="Arial" w:cs="Times New Roman"/>
          <w:i/>
        </w:rPr>
        <w:t xml:space="preserve"> August</w:t>
      </w:r>
      <w:r w:rsidRPr="00A0125F">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284041" w:rsidRPr="00BB5D46" w:rsidRDefault="00284041" w:rsidP="00284041">
      <w:pPr>
        <w:jc w:val="center"/>
        <w:rPr>
          <w:rFonts w:eastAsia="Arial" w:cs="Times New Roman"/>
          <w:i/>
        </w:rPr>
      </w:pPr>
    </w:p>
    <w:p w:rsidR="00284041" w:rsidRPr="00BB5D46" w:rsidRDefault="00284041" w:rsidP="00284041">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284041" w:rsidRPr="00BB5D46" w:rsidRDefault="00284041" w:rsidP="00A0125F">
      <w:pPr>
        <w:rPr>
          <w:rFonts w:eastAsia="Arial" w:cs="Times New Roman"/>
          <w:b/>
          <w:color w:val="000000"/>
          <w:sz w:val="32"/>
          <w:szCs w:val="32"/>
          <w:lang w:val="en-US"/>
        </w:rPr>
      </w:pPr>
    </w:p>
    <w:p w:rsidR="00284041" w:rsidRDefault="00284041" w:rsidP="00284041">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284041" w:rsidRPr="000A0DEC" w:rsidRDefault="00284041" w:rsidP="000A0DEC">
      <w:pPr>
        <w:jc w:val="center"/>
        <w:rPr>
          <w:rFonts w:eastAsia="Calibri" w:cs="Times New Roman"/>
          <w:i/>
          <w:szCs w:val="22"/>
        </w:rPr>
      </w:pPr>
      <w:r w:rsidRPr="007F0718">
        <w:rPr>
          <w:rFonts w:eastAsia="Calibri" w:cs="Times New Roman"/>
          <w:i/>
          <w:szCs w:val="22"/>
        </w:rPr>
        <w:t>Sourced from the Analysis &amp; Policy Observatory</w:t>
      </w:r>
    </w:p>
    <w:p w:rsidR="000A0DEC" w:rsidRDefault="000A0DEC" w:rsidP="00284041">
      <w:pPr>
        <w:rPr>
          <w:rFonts w:eastAsia="Arial" w:cs="Times New Roman"/>
          <w:color w:val="000000"/>
        </w:rPr>
      </w:pPr>
    </w:p>
    <w:p w:rsidR="00284041" w:rsidRDefault="00003C1B" w:rsidP="00284041">
      <w:pPr>
        <w:rPr>
          <w:rFonts w:eastAsia="Arial" w:cs="Times New Roman"/>
          <w:color w:val="000000"/>
          <w:lang w:val="en-US"/>
        </w:rPr>
      </w:pPr>
      <w:r w:rsidRPr="00003C1B">
        <w:rPr>
          <w:rFonts w:eastAsia="Arial" w:cs="Times New Roman"/>
          <w:color w:val="000000"/>
        </w:rPr>
        <w:t xml:space="preserve">Arden, J. (2019). </w:t>
      </w:r>
      <w:r w:rsidRPr="00003C1B">
        <w:rPr>
          <w:rFonts w:eastAsia="Arial" w:cs="Times New Roman"/>
          <w:i/>
          <w:iCs/>
          <w:color w:val="000000"/>
        </w:rPr>
        <w:t>W</w:t>
      </w:r>
      <w:r w:rsidR="00FB00D9">
        <w:rPr>
          <w:rFonts w:eastAsia="Arial" w:cs="Times New Roman"/>
          <w:i/>
          <w:iCs/>
          <w:color w:val="000000"/>
        </w:rPr>
        <w:t>hy does good government matter?</w:t>
      </w:r>
      <w:r w:rsidRPr="00003C1B">
        <w:rPr>
          <w:rFonts w:eastAsia="Arial" w:cs="Times New Roman"/>
          <w:color w:val="000000"/>
        </w:rPr>
        <w:t xml:space="preserve"> New Zealand: Beehive Government </w:t>
      </w:r>
      <w:hyperlink r:id="rId170" w:history="1">
        <w:r w:rsidRPr="00003C1B">
          <w:rPr>
            <w:rStyle w:val="Hyperlink"/>
            <w:rFonts w:eastAsia="Arial" w:cs="Times New Roman"/>
          </w:rPr>
          <w:t>https://www.beehive.govt.nz/speech/why-does-good-government-matter</w:t>
        </w:r>
      </w:hyperlink>
      <w:r w:rsidRPr="00003C1B">
        <w:rPr>
          <w:rFonts w:eastAsia="Arial" w:cs="Times New Roman"/>
          <w:color w:val="000000"/>
        </w:rPr>
        <w:t>.</w:t>
      </w:r>
    </w:p>
    <w:p w:rsidR="00003C1B" w:rsidRPr="00003C1B" w:rsidRDefault="00003C1B" w:rsidP="00284041">
      <w:pPr>
        <w:rPr>
          <w:rFonts w:eastAsia="Arial" w:cs="Times New Roman"/>
          <w:color w:val="000000"/>
          <w:lang w:val="en-US"/>
        </w:rPr>
      </w:pPr>
    </w:p>
    <w:p w:rsidR="00003C1B" w:rsidRDefault="0038263B" w:rsidP="00003C1B">
      <w:pPr>
        <w:rPr>
          <w:rFonts w:eastAsia="Arial" w:cs="Times New Roman"/>
          <w:color w:val="000000"/>
        </w:rPr>
      </w:pPr>
      <w:r>
        <w:rPr>
          <w:rFonts w:eastAsia="Arial" w:cs="Times New Roman"/>
          <w:color w:val="000000"/>
        </w:rPr>
        <w:t>“</w:t>
      </w:r>
      <w:r w:rsidR="00003C1B" w:rsidRPr="00003C1B">
        <w:rPr>
          <w:rFonts w:eastAsia="Arial" w:cs="Times New Roman"/>
          <w:color w:val="000000"/>
        </w:rPr>
        <w:t>Around the world, democratic values and institutions are under threat in a way that many of us never expected to see in our lifetimes.</w:t>
      </w:r>
      <w:r w:rsidR="00003C1B">
        <w:rPr>
          <w:rFonts w:eastAsia="Arial" w:cs="Times New Roman"/>
          <w:color w:val="000000"/>
        </w:rPr>
        <w:t xml:space="preserve"> </w:t>
      </w:r>
      <w:r w:rsidR="00003C1B" w:rsidRPr="00003C1B">
        <w:rPr>
          <w:rFonts w:eastAsia="Arial" w:cs="Times New Roman"/>
          <w:color w:val="000000"/>
        </w:rPr>
        <w:t>Nationalist sentiment that closes off the possibility of countries working together is surging. Authoritarian movements and regimes are on the rise.</w:t>
      </w:r>
      <w:r w:rsidR="00003C1B">
        <w:rPr>
          <w:rFonts w:eastAsia="Arial" w:cs="Times New Roman"/>
          <w:color w:val="000000"/>
        </w:rPr>
        <w:t xml:space="preserve"> </w:t>
      </w:r>
      <w:r w:rsidR="00003C1B" w:rsidRPr="00003C1B">
        <w:rPr>
          <w:rFonts w:eastAsia="Arial" w:cs="Times New Roman"/>
          <w:color w:val="000000"/>
        </w:rPr>
        <w:t>Norms that we in New Zealand and Australia take for granted – the rule of law, the peaceful transfer of power, freedom of expression – are being challenged in new and more explicit ways. These trends are only possible because large numbers of people believe, rightly or wrongly, that their leaders are failing them</w:t>
      </w:r>
      <w:r w:rsidR="00FB00D9">
        <w:rPr>
          <w:rFonts w:eastAsia="Arial" w:cs="Times New Roman"/>
          <w:color w:val="000000"/>
        </w:rPr>
        <w:t>…</w:t>
      </w:r>
    </w:p>
    <w:p w:rsidR="00FB00D9" w:rsidRDefault="00FB00D9" w:rsidP="00003C1B">
      <w:pPr>
        <w:rPr>
          <w:rFonts w:eastAsia="Arial" w:cs="Times New Roman"/>
          <w:color w:val="000000"/>
        </w:rPr>
      </w:pPr>
    </w:p>
    <w:p w:rsidR="00FB00D9" w:rsidRPr="00FB00D9" w:rsidRDefault="00FB00D9" w:rsidP="00FB00D9">
      <w:pPr>
        <w:rPr>
          <w:rFonts w:eastAsia="Arial" w:cs="Times New Roman"/>
          <w:color w:val="000000"/>
        </w:rPr>
      </w:pPr>
      <w:r w:rsidRPr="00FB00D9">
        <w:rPr>
          <w:rFonts w:eastAsia="Arial" w:cs="Times New Roman"/>
          <w:color w:val="000000"/>
        </w:rPr>
        <w:t>This year, in New Zealand, we introduced our first Wellbeing Budget.</w:t>
      </w:r>
      <w:r>
        <w:rPr>
          <w:rFonts w:eastAsia="Arial" w:cs="Times New Roman"/>
          <w:color w:val="000000"/>
        </w:rPr>
        <w:t xml:space="preserve"> </w:t>
      </w:r>
      <w:r w:rsidRPr="00FB00D9">
        <w:rPr>
          <w:rFonts w:eastAsia="Arial" w:cs="Times New Roman"/>
          <w:color w:val="000000"/>
        </w:rPr>
        <w:t>We didn’t abandon the previous approach to public finance. We widened it. We said not only “What will be most conducive to economic growth?” but also, more fundamentally: “What will do the most to improve the lives of New Zealanders?”</w:t>
      </w:r>
      <w:r>
        <w:rPr>
          <w:rFonts w:eastAsia="Arial" w:cs="Times New Roman"/>
          <w:color w:val="000000"/>
        </w:rPr>
        <w:t xml:space="preserve"> </w:t>
      </w:r>
      <w:r w:rsidRPr="00FB00D9">
        <w:rPr>
          <w:rFonts w:eastAsia="Arial" w:cs="Times New Roman"/>
          <w:color w:val="000000"/>
        </w:rPr>
        <w:t>‘What will help them to pursue lives of dignity and purpose?’</w:t>
      </w:r>
      <w:r>
        <w:rPr>
          <w:rFonts w:eastAsia="Arial" w:cs="Times New Roman"/>
          <w:color w:val="000000"/>
        </w:rPr>
        <w:t xml:space="preserve"> </w:t>
      </w:r>
      <w:r w:rsidRPr="00FB00D9">
        <w:rPr>
          <w:rFonts w:eastAsia="Arial" w:cs="Times New Roman"/>
          <w:color w:val="000000"/>
        </w:rPr>
        <w:t>We embedded wellbeing at every stage of the creation of the Budget – from setting priorities to analysing proposals, to making the inevitable trade-offs that come with the privilege of being in government</w:t>
      </w:r>
      <w:r w:rsidR="0038263B">
        <w:rPr>
          <w:rFonts w:eastAsia="Arial" w:cs="Times New Roman"/>
          <w:color w:val="000000"/>
        </w:rPr>
        <w:t>”</w:t>
      </w:r>
      <w:r w:rsidRPr="00FB00D9">
        <w:rPr>
          <w:rFonts w:eastAsia="Arial" w:cs="Times New Roman"/>
          <w:color w:val="000000"/>
        </w:rPr>
        <w:t>.</w:t>
      </w:r>
    </w:p>
    <w:p w:rsidR="00284041" w:rsidRDefault="00284041" w:rsidP="00F409D4">
      <w:pPr>
        <w:rPr>
          <w:rFonts w:ascii="Helvetica" w:hAnsi="Helvetica" w:cs="Helvetica"/>
          <w:sz w:val="18"/>
          <w:szCs w:val="18"/>
        </w:rPr>
      </w:pPr>
    </w:p>
    <w:p w:rsidR="00284041" w:rsidRDefault="00284041" w:rsidP="00284041">
      <w:pPr>
        <w:jc w:val="center"/>
        <w:rPr>
          <w:rFonts w:ascii="Helvetica" w:hAnsi="Helvetica" w:cs="Helvetica"/>
          <w:sz w:val="18"/>
          <w:szCs w:val="18"/>
        </w:rPr>
      </w:pPr>
    </w:p>
    <w:p w:rsidR="00284041" w:rsidRPr="00CB131A" w:rsidRDefault="00284041" w:rsidP="00284041">
      <w:pPr>
        <w:jc w:val="center"/>
        <w:rPr>
          <w:rFonts w:eastAsia="Arial" w:cs="Times New Roman"/>
          <w:b/>
          <w:sz w:val="32"/>
          <w:szCs w:val="32"/>
        </w:rPr>
      </w:pPr>
      <w:r w:rsidRPr="00BB5D46">
        <w:rPr>
          <w:rFonts w:eastAsia="Arial" w:cs="Times New Roman"/>
          <w:b/>
          <w:sz w:val="32"/>
          <w:szCs w:val="32"/>
        </w:rPr>
        <w:t>Media news</w:t>
      </w:r>
    </w:p>
    <w:p w:rsidR="00284041" w:rsidRPr="00CB131A" w:rsidRDefault="00284041" w:rsidP="00284041">
      <w:pPr>
        <w:jc w:val="center"/>
        <w:rPr>
          <w:rFonts w:eastAsia="Arial" w:cs="Times New Roman"/>
          <w:i/>
        </w:rPr>
      </w:pPr>
      <w:r w:rsidRPr="00CB131A">
        <w:rPr>
          <w:rFonts w:eastAsia="Arial" w:cs="Times New Roman"/>
          <w:i/>
        </w:rPr>
        <w:t>Tanika Roberts [</w:t>
      </w:r>
      <w:hyperlink r:id="rId171" w:history="1">
        <w:r w:rsidRPr="00CB131A">
          <w:rPr>
            <w:rStyle w:val="Hyperlink"/>
            <w:rFonts w:eastAsia="Arial" w:cs="Times New Roman"/>
            <w:i/>
          </w:rPr>
          <w:t>trobe@deakin.edu.au</w:t>
        </w:r>
      </w:hyperlink>
      <w:r w:rsidRPr="00CB131A">
        <w:rPr>
          <w:rFonts w:eastAsia="Arial" w:cs="Times New Roman"/>
          <w:i/>
        </w:rPr>
        <w:t>]</w:t>
      </w:r>
    </w:p>
    <w:p w:rsidR="00284041" w:rsidRPr="00CB131A" w:rsidRDefault="00284041" w:rsidP="00284041">
      <w:pPr>
        <w:jc w:val="center"/>
        <w:rPr>
          <w:rFonts w:eastAsia="Arial" w:cs="Times New Roman"/>
          <w:i/>
        </w:rPr>
      </w:pPr>
      <w:r w:rsidRPr="00CB131A">
        <w:rPr>
          <w:rFonts w:eastAsia="Arial" w:cs="Times New Roman"/>
          <w:i/>
        </w:rPr>
        <w:t>Executive Volunteer, Bulletin Co-Editor– Media</w:t>
      </w:r>
    </w:p>
    <w:p w:rsidR="003940E4" w:rsidRDefault="003940E4" w:rsidP="003940E4">
      <w:pPr>
        <w:shd w:val="clear" w:color="auto" w:fill="FFFFFF"/>
        <w:outlineLvl w:val="0"/>
        <w:rPr>
          <w:rFonts w:eastAsia="Arial" w:cs="Times New Roman"/>
          <w:sz w:val="28"/>
          <w:szCs w:val="28"/>
        </w:rPr>
      </w:pPr>
    </w:p>
    <w:p w:rsidR="003940E4" w:rsidRPr="003940E4" w:rsidRDefault="003940E4" w:rsidP="003940E4">
      <w:pPr>
        <w:shd w:val="clear" w:color="auto" w:fill="FFFFFF"/>
        <w:rPr>
          <w:rFonts w:eastAsia="Times New Roman" w:cs="Times New Roman"/>
          <w:b/>
          <w:bCs/>
          <w:kern w:val="36"/>
          <w:sz w:val="48"/>
          <w:szCs w:val="48"/>
          <w:lang w:eastAsia="en-AU"/>
        </w:rPr>
      </w:pPr>
      <w:r w:rsidRPr="003940E4">
        <w:rPr>
          <w:rFonts w:eastAsia="Times New Roman" w:cs="Times New Roman"/>
          <w:b/>
          <w:bCs/>
          <w:kern w:val="36"/>
          <w:sz w:val="28"/>
          <w:szCs w:val="28"/>
          <w:lang w:eastAsia="en-AU"/>
        </w:rPr>
        <w:t>Combined online self-management for pain, associated anxiety and depression works</w:t>
      </w:r>
    </w:p>
    <w:p w:rsidR="003940E4" w:rsidRPr="003940E4" w:rsidRDefault="003940E4" w:rsidP="003940E4">
      <w:pPr>
        <w:rPr>
          <w:rFonts w:eastAsia="Calibri" w:cs="Times New Roman"/>
          <w:lang w:eastAsia="en-AU"/>
        </w:rPr>
      </w:pPr>
      <w:proofErr w:type="spellStart"/>
      <w:r w:rsidRPr="003940E4">
        <w:rPr>
          <w:rFonts w:eastAsia="Calibri" w:cs="Times New Roman"/>
          <w:color w:val="7F7F7F"/>
          <w:sz w:val="20"/>
          <w:szCs w:val="21"/>
          <w:shd w:val="clear" w:color="auto" w:fill="FFFFFF"/>
          <w:lang w:eastAsia="en-AU"/>
        </w:rPr>
        <w:t>Regenstrief</w:t>
      </w:r>
      <w:proofErr w:type="spellEnd"/>
      <w:r w:rsidRPr="003940E4">
        <w:rPr>
          <w:rFonts w:eastAsia="Calibri" w:cs="Times New Roman"/>
          <w:color w:val="7F7F7F"/>
          <w:sz w:val="20"/>
          <w:szCs w:val="21"/>
          <w:shd w:val="clear" w:color="auto" w:fill="FFFFFF"/>
          <w:lang w:eastAsia="en-AU"/>
        </w:rPr>
        <w:t xml:space="preserve"> Institute. (2019, July 22)</w:t>
      </w:r>
    </w:p>
    <w:p w:rsidR="003940E4" w:rsidRPr="003940E4" w:rsidRDefault="00DF3874" w:rsidP="003940E4">
      <w:pPr>
        <w:rPr>
          <w:rFonts w:eastAsia="Calibri" w:cs="Times New Roman"/>
          <w:lang w:eastAsia="en-AU"/>
        </w:rPr>
      </w:pPr>
      <w:hyperlink r:id="rId172" w:history="1">
        <w:r w:rsidR="003940E4" w:rsidRPr="003940E4">
          <w:rPr>
            <w:rFonts w:eastAsia="Calibri" w:cs="Times New Roman"/>
            <w:color w:val="0000FF"/>
            <w:sz w:val="22"/>
            <w:szCs w:val="22"/>
            <w:u w:val="single"/>
            <w:lang w:eastAsia="en-AU"/>
          </w:rPr>
          <w:t>https://www.sciencedaily.com/releases/2019/07/190722111904.htm</w:t>
        </w:r>
      </w:hyperlink>
      <w:r w:rsidR="003940E4" w:rsidRPr="003940E4">
        <w:rPr>
          <w:rFonts w:eastAsia="Calibri" w:cs="Times New Roman"/>
          <w:sz w:val="22"/>
          <w:szCs w:val="22"/>
          <w:u w:val="single"/>
          <w:lang w:eastAsia="en-AU"/>
        </w:rPr>
        <w:t xml:space="preserve"> </w:t>
      </w:r>
    </w:p>
    <w:p w:rsidR="003940E4" w:rsidRPr="003940E4" w:rsidRDefault="003940E4" w:rsidP="003940E4">
      <w:pPr>
        <w:rPr>
          <w:rFonts w:eastAsia="Calibri" w:cs="Times New Roman"/>
          <w:lang w:eastAsia="en-AU"/>
        </w:rPr>
      </w:pPr>
    </w:p>
    <w:p w:rsidR="003940E4" w:rsidRDefault="003940E4" w:rsidP="003940E4">
      <w:pPr>
        <w:rPr>
          <w:rFonts w:eastAsia="Calibri" w:cs="Times New Roman"/>
          <w:color w:val="333333"/>
          <w:sz w:val="22"/>
          <w:szCs w:val="22"/>
          <w:lang w:eastAsia="en-AU"/>
        </w:rPr>
      </w:pPr>
      <w:r w:rsidRPr="003940E4">
        <w:rPr>
          <w:rFonts w:eastAsia="Calibri" w:cs="Times New Roman"/>
          <w:color w:val="333333"/>
          <w:sz w:val="22"/>
          <w:szCs w:val="22"/>
          <w:shd w:val="clear" w:color="auto" w:fill="FFFFFF"/>
          <w:lang w:eastAsia="en-AU"/>
        </w:rPr>
        <w:t>Pain is the most common physical symptom for which adults seek medical attention in the United States, while anxiety and depression are the most common mental health symptoms for which adults visit a doctor. </w:t>
      </w:r>
      <w:proofErr w:type="spellStart"/>
      <w:r w:rsidRPr="003940E4">
        <w:rPr>
          <w:rFonts w:eastAsia="Calibri" w:cs="Times New Roman"/>
          <w:color w:val="333333"/>
          <w:sz w:val="22"/>
          <w:szCs w:val="22"/>
          <w:lang w:eastAsia="en-AU"/>
        </w:rPr>
        <w:t>Regenstrief</w:t>
      </w:r>
      <w:proofErr w:type="spellEnd"/>
      <w:r w:rsidRPr="003940E4">
        <w:rPr>
          <w:rFonts w:eastAsia="Calibri" w:cs="Times New Roman"/>
          <w:color w:val="333333"/>
          <w:sz w:val="22"/>
          <w:szCs w:val="22"/>
          <w:lang w:eastAsia="en-AU"/>
        </w:rPr>
        <w:t xml:space="preserve"> Institute research scientist Kurt </w:t>
      </w:r>
      <w:r w:rsidRPr="003940E4">
        <w:rPr>
          <w:rFonts w:eastAsia="Calibri" w:cs="Times New Roman"/>
          <w:color w:val="333333"/>
          <w:sz w:val="22"/>
          <w:szCs w:val="22"/>
          <w:shd w:val="clear" w:color="auto" w:fill="FFFFFF"/>
          <w:lang w:eastAsia="en-AU"/>
        </w:rPr>
        <w:t xml:space="preserve">Kroenke states "Pain, anxiety and depression can produce a vicious cycle in which the presence of one symptom, if untreated, may </w:t>
      </w:r>
      <w:r w:rsidRPr="003940E4">
        <w:rPr>
          <w:rFonts w:eastAsia="Calibri" w:cs="Times New Roman"/>
          <w:color w:val="333333"/>
          <w:sz w:val="22"/>
          <w:szCs w:val="22"/>
          <w:shd w:val="clear" w:color="auto" w:fill="FFFFFF"/>
          <w:lang w:eastAsia="en-AU"/>
        </w:rPr>
        <w:lastRenderedPageBreak/>
        <w:t xml:space="preserve">negatively affect the response to treatment of the other two symptoms." </w:t>
      </w:r>
      <w:r w:rsidRPr="003940E4">
        <w:rPr>
          <w:rFonts w:eastAsia="Calibri" w:cs="Times New Roman"/>
          <w:color w:val="333333"/>
          <w:sz w:val="22"/>
          <w:szCs w:val="22"/>
          <w:lang w:eastAsia="en-AU"/>
        </w:rPr>
        <w:t>A new study led by Dr Kroenke, has found that both online symptom self-management and online symptom self-management plus clinician telecare can be effective for individuals with all three symptoms, which frequently co-occur in this difficult to treat patient population.</w:t>
      </w:r>
    </w:p>
    <w:p w:rsidR="003940E4" w:rsidRPr="003940E4" w:rsidRDefault="003940E4" w:rsidP="003940E4">
      <w:pPr>
        <w:rPr>
          <w:rFonts w:eastAsia="Calibri" w:cs="Times New Roman"/>
          <w:lang w:eastAsia="en-AU"/>
        </w:rPr>
      </w:pPr>
    </w:p>
    <w:p w:rsidR="00284041" w:rsidRPr="00BB5D46" w:rsidRDefault="00284041" w:rsidP="00284041">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284041" w:rsidRDefault="00284041" w:rsidP="00284041">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284041" w:rsidRPr="00BB5D46" w:rsidRDefault="00284041" w:rsidP="00284041">
      <w:pPr>
        <w:jc w:val="center"/>
        <w:rPr>
          <w:rFonts w:eastAsia="Calibri" w:cs="Times New Roman"/>
          <w:i/>
          <w:szCs w:val="22"/>
        </w:rPr>
      </w:pPr>
      <w:r w:rsidRPr="00BB5D46">
        <w:rPr>
          <w:rFonts w:eastAsia="Calibri" w:cs="Times New Roman"/>
          <w:i/>
          <w:szCs w:val="22"/>
        </w:rPr>
        <w:t>Membership Registrar</w:t>
      </w:r>
    </w:p>
    <w:p w:rsidR="00284041" w:rsidRPr="00BB5D46" w:rsidRDefault="00284041" w:rsidP="00284041">
      <w:pPr>
        <w:rPr>
          <w:rFonts w:eastAsia="Calibri" w:cs="Times New Roman"/>
          <w:i/>
          <w:szCs w:val="22"/>
        </w:rPr>
      </w:pPr>
      <w:r w:rsidRPr="00BB5D46">
        <w:rPr>
          <w:rFonts w:eastAsia="Times New Roman" w:cs="Times New Roman"/>
          <w:b/>
          <w:sz w:val="32"/>
          <w:szCs w:val="32"/>
          <w:lang w:val="en-US"/>
        </w:rPr>
        <w:t>Welcome to new members</w:t>
      </w:r>
    </w:p>
    <w:p w:rsidR="00D46BF9" w:rsidRDefault="00DF3874" w:rsidP="00D46BF9">
      <w:pPr>
        <w:pStyle w:val="blue"/>
        <w:pBdr>
          <w:top w:val="single" w:sz="6" w:space="8" w:color="DDDDDD"/>
          <w:left w:val="single" w:sz="2" w:space="11" w:color="DDDDDD"/>
          <w:bottom w:val="single" w:sz="6" w:space="8" w:color="DDDDDD"/>
          <w:right w:val="single" w:sz="2" w:space="11" w:color="DDDDDD"/>
        </w:pBdr>
        <w:shd w:val="clear" w:color="auto" w:fill="FFFFFF"/>
        <w:spacing w:before="0" w:beforeAutospacing="0" w:after="0" w:afterAutospacing="0"/>
        <w:rPr>
          <w:rFonts w:ascii="Arial" w:hAnsi="Arial" w:cs="Arial"/>
          <w:color w:val="333333"/>
          <w:sz w:val="25"/>
          <w:szCs w:val="25"/>
        </w:rPr>
      </w:pPr>
      <w:hyperlink r:id="rId173" w:history="1">
        <w:r w:rsidR="00D46BF9">
          <w:rPr>
            <w:rStyle w:val="Hyperlink"/>
            <w:rFonts w:ascii="Arial" w:eastAsiaTheme="majorEastAsia" w:hAnsi="Arial" w:cs="Arial"/>
            <w:color w:val="337AB7"/>
            <w:sz w:val="25"/>
            <w:szCs w:val="25"/>
          </w:rPr>
          <w:t>Professor Samuel Adams</w:t>
        </w:r>
      </w:hyperlink>
    </w:p>
    <w:p w:rsidR="00D46BF9" w:rsidRDefault="00D46BF9" w:rsidP="00D46BF9">
      <w:pPr>
        <w:pStyle w:val="contact-title"/>
        <w:pBdr>
          <w:top w:val="single" w:sz="6" w:space="8" w:color="DDDDDD"/>
          <w:left w:val="single" w:sz="2" w:space="11" w:color="DDDDDD"/>
          <w:bottom w:val="single" w:sz="6" w:space="8" w:color="DDDDDD"/>
          <w:right w:val="single" w:sz="2" w:space="11" w:color="DDDDDD"/>
        </w:pBdr>
        <w:shd w:val="clear" w:color="auto" w:fill="FFFFFF"/>
        <w:spacing w:before="0" w:beforeAutospacing="0" w:after="0" w:afterAutospacing="0"/>
        <w:rPr>
          <w:rFonts w:ascii="Arial" w:hAnsi="Arial" w:cs="Arial"/>
          <w:color w:val="000000"/>
          <w:sz w:val="25"/>
          <w:szCs w:val="25"/>
        </w:rPr>
      </w:pPr>
      <w:r>
        <w:rPr>
          <w:rFonts w:ascii="Arial" w:hAnsi="Arial" w:cs="Arial"/>
          <w:color w:val="000000"/>
          <w:sz w:val="25"/>
          <w:szCs w:val="25"/>
        </w:rPr>
        <w:t>Dean, Ghana Institute of Management and Public Administration, Ghana</w:t>
      </w:r>
    </w:p>
    <w:p w:rsidR="00D46BF9" w:rsidRDefault="00D46BF9" w:rsidP="000A0DEC">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r>
        <w:rPr>
          <w:rStyle w:val="Strong"/>
          <w:rFonts w:ascii="Arial" w:hAnsi="Arial" w:cs="Arial"/>
          <w:color w:val="000000"/>
          <w:sz w:val="20"/>
          <w:szCs w:val="20"/>
        </w:rPr>
        <w:t>Keywords:</w:t>
      </w:r>
      <w:r>
        <w:rPr>
          <w:rStyle w:val="apple-converted-space"/>
          <w:rFonts w:ascii="Arial" w:hAnsi="Arial" w:cs="Arial"/>
          <w:color w:val="000000"/>
          <w:sz w:val="20"/>
          <w:szCs w:val="20"/>
        </w:rPr>
        <w:t> </w:t>
      </w:r>
      <w:r>
        <w:rPr>
          <w:rFonts w:ascii="Arial" w:hAnsi="Arial" w:cs="Arial"/>
          <w:color w:val="000000"/>
          <w:sz w:val="20"/>
          <w:szCs w:val="20"/>
        </w:rPr>
        <w:t>economic development, sustainable development, income inequalit</w:t>
      </w:r>
      <w:r w:rsidR="000A0DEC">
        <w:rPr>
          <w:rFonts w:ascii="Arial" w:hAnsi="Arial" w:cs="Arial"/>
          <w:color w:val="000000"/>
          <w:sz w:val="20"/>
          <w:szCs w:val="20"/>
        </w:rPr>
        <w:t>y, environmental quality, Ghana</w:t>
      </w:r>
    </w:p>
    <w:p w:rsidR="000A0DEC" w:rsidRPr="000A0DEC" w:rsidRDefault="000A0DEC" w:rsidP="000A0DEC">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p>
    <w:p w:rsidR="00D46BF9" w:rsidRDefault="00DF3874"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333333"/>
          <w:sz w:val="25"/>
          <w:szCs w:val="25"/>
        </w:rPr>
      </w:pPr>
      <w:hyperlink r:id="rId174" w:history="1">
        <w:r w:rsidR="00D46BF9">
          <w:rPr>
            <w:rStyle w:val="Hyperlink"/>
            <w:rFonts w:ascii="Arial" w:eastAsiaTheme="majorEastAsia" w:hAnsi="Arial" w:cs="Arial"/>
            <w:color w:val="337AB7"/>
            <w:sz w:val="25"/>
            <w:szCs w:val="25"/>
          </w:rPr>
          <w:t>Professor Ian Bache</w:t>
        </w:r>
      </w:hyperlink>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5"/>
          <w:szCs w:val="25"/>
        </w:rPr>
      </w:pPr>
      <w:r>
        <w:rPr>
          <w:rFonts w:ascii="Arial" w:hAnsi="Arial" w:cs="Arial"/>
          <w:color w:val="000000"/>
          <w:sz w:val="25"/>
          <w:szCs w:val="25"/>
        </w:rPr>
        <w:t>Professor of Politics, University of Sheffield, UK</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r>
        <w:rPr>
          <w:rStyle w:val="Strong"/>
          <w:rFonts w:ascii="Arial" w:hAnsi="Arial" w:cs="Arial"/>
          <w:color w:val="000000"/>
          <w:sz w:val="20"/>
          <w:szCs w:val="20"/>
        </w:rPr>
        <w:t>Keywords:</w:t>
      </w:r>
      <w:r>
        <w:rPr>
          <w:rStyle w:val="apple-converted-space"/>
          <w:rFonts w:ascii="Arial" w:hAnsi="Arial" w:cs="Arial"/>
          <w:color w:val="000000"/>
          <w:sz w:val="20"/>
          <w:szCs w:val="20"/>
        </w:rPr>
        <w:t> </w:t>
      </w:r>
      <w:r>
        <w:rPr>
          <w:rFonts w:ascii="Arial" w:hAnsi="Arial" w:cs="Arial"/>
          <w:color w:val="000000"/>
          <w:sz w:val="20"/>
          <w:szCs w:val="20"/>
        </w:rPr>
        <w:t>politics, policy, evidence, government, UK</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spacing w:after="150"/>
        <w:rPr>
          <w:rFonts w:ascii="Arial" w:hAnsi="Arial" w:cs="Arial"/>
          <w:color w:val="333333"/>
          <w:sz w:val="25"/>
          <w:szCs w:val="25"/>
        </w:rPr>
      </w:pP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333333"/>
          <w:sz w:val="25"/>
          <w:szCs w:val="25"/>
        </w:rPr>
      </w:pPr>
      <w:r w:rsidRPr="008B55FF">
        <w:rPr>
          <w:rFonts w:ascii="Arial" w:hAnsi="Arial" w:cs="Arial"/>
          <w:color w:val="333333"/>
          <w:sz w:val="25"/>
          <w:szCs w:val="25"/>
        </w:rPr>
        <w:t xml:space="preserve"> </w:t>
      </w:r>
      <w:hyperlink r:id="rId175" w:history="1">
        <w:r>
          <w:rPr>
            <w:rStyle w:val="Hyperlink"/>
            <w:rFonts w:ascii="Arial" w:eastAsiaTheme="majorEastAsia" w:hAnsi="Arial" w:cs="Arial"/>
            <w:color w:val="337AB7"/>
            <w:sz w:val="25"/>
            <w:szCs w:val="25"/>
          </w:rPr>
          <w:t>Dr Raquel do Carvalhal Monteiro</w:t>
        </w:r>
      </w:hyperlink>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5"/>
          <w:szCs w:val="25"/>
        </w:rPr>
      </w:pPr>
      <w:r>
        <w:rPr>
          <w:rFonts w:ascii="Arial" w:hAnsi="Arial" w:cs="Arial"/>
          <w:color w:val="000000"/>
          <w:sz w:val="25"/>
          <w:szCs w:val="25"/>
        </w:rPr>
        <w:t xml:space="preserve">Postdoctoral Researcher, </w:t>
      </w:r>
      <w:proofErr w:type="spellStart"/>
      <w:r>
        <w:rPr>
          <w:rFonts w:ascii="Arial" w:hAnsi="Arial" w:cs="Arial"/>
          <w:color w:val="000000"/>
          <w:sz w:val="25"/>
          <w:szCs w:val="25"/>
        </w:rPr>
        <w:t>Universidade</w:t>
      </w:r>
      <w:proofErr w:type="spellEnd"/>
      <w:r>
        <w:rPr>
          <w:rFonts w:ascii="Arial" w:hAnsi="Arial" w:cs="Arial"/>
          <w:color w:val="000000"/>
          <w:sz w:val="25"/>
          <w:szCs w:val="25"/>
        </w:rPr>
        <w:t xml:space="preserve"> Federal </w:t>
      </w:r>
      <w:proofErr w:type="spellStart"/>
      <w:r>
        <w:rPr>
          <w:rFonts w:ascii="Arial" w:hAnsi="Arial" w:cs="Arial"/>
          <w:color w:val="000000"/>
          <w:sz w:val="25"/>
          <w:szCs w:val="25"/>
        </w:rPr>
        <w:t>Fluminense</w:t>
      </w:r>
      <w:proofErr w:type="spellEnd"/>
      <w:r>
        <w:rPr>
          <w:rFonts w:ascii="Arial" w:hAnsi="Arial" w:cs="Arial"/>
          <w:color w:val="000000"/>
          <w:sz w:val="25"/>
          <w:szCs w:val="25"/>
        </w:rPr>
        <w:t>, Brazil</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r>
        <w:rPr>
          <w:rStyle w:val="Strong"/>
          <w:rFonts w:ascii="Arial" w:hAnsi="Arial" w:cs="Arial"/>
          <w:color w:val="000000"/>
          <w:sz w:val="20"/>
          <w:szCs w:val="20"/>
        </w:rPr>
        <w:t>Keywords:</w:t>
      </w:r>
      <w:r>
        <w:rPr>
          <w:rStyle w:val="apple-converted-space"/>
          <w:rFonts w:ascii="Arial" w:hAnsi="Arial" w:cs="Arial"/>
          <w:color w:val="000000"/>
          <w:sz w:val="20"/>
          <w:szCs w:val="20"/>
        </w:rPr>
        <w:t> </w:t>
      </w:r>
      <w:r>
        <w:rPr>
          <w:rFonts w:ascii="Arial" w:hAnsi="Arial" w:cs="Arial"/>
          <w:color w:val="000000"/>
          <w:sz w:val="20"/>
          <w:szCs w:val="20"/>
        </w:rPr>
        <w:t>"Well-being" "social indicators" "quality of life" "sustainability" "happiness"</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spacing w:after="150"/>
        <w:rPr>
          <w:rFonts w:ascii="Arial" w:hAnsi="Arial" w:cs="Arial"/>
          <w:color w:val="000000"/>
          <w:sz w:val="20"/>
          <w:szCs w:val="20"/>
        </w:rPr>
      </w:pP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333333"/>
          <w:sz w:val="25"/>
          <w:szCs w:val="25"/>
        </w:rPr>
      </w:pPr>
      <w:r>
        <w:rPr>
          <w:rFonts w:ascii="Arial" w:hAnsi="Arial" w:cs="Arial"/>
          <w:color w:val="000000"/>
          <w:sz w:val="20"/>
          <w:szCs w:val="20"/>
        </w:rPr>
        <w:t xml:space="preserve"> </w:t>
      </w:r>
      <w:hyperlink r:id="rId176" w:history="1">
        <w:r>
          <w:rPr>
            <w:rStyle w:val="Hyperlink"/>
            <w:rFonts w:ascii="Arial" w:eastAsiaTheme="majorEastAsia" w:hAnsi="Arial" w:cs="Arial"/>
            <w:color w:val="337AB7"/>
            <w:sz w:val="25"/>
            <w:szCs w:val="25"/>
          </w:rPr>
          <w:t>Mr Armando Fatigati</w:t>
        </w:r>
      </w:hyperlink>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5"/>
          <w:szCs w:val="25"/>
        </w:rPr>
      </w:pPr>
      <w:r>
        <w:rPr>
          <w:rFonts w:ascii="Arial" w:hAnsi="Arial" w:cs="Arial"/>
          <w:color w:val="000000"/>
          <w:sz w:val="25"/>
          <w:szCs w:val="25"/>
        </w:rPr>
        <w:t>Vice President, Complex Claims Division, Workplace Safety and Insurance Board of Ontario, Canada</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r>
        <w:rPr>
          <w:rStyle w:val="Strong"/>
          <w:rFonts w:ascii="Arial" w:hAnsi="Arial" w:cs="Arial"/>
          <w:color w:val="000000"/>
          <w:sz w:val="20"/>
          <w:szCs w:val="20"/>
        </w:rPr>
        <w:t>Keywords:</w:t>
      </w:r>
      <w:r>
        <w:rPr>
          <w:rStyle w:val="apple-converted-space"/>
          <w:rFonts w:ascii="Arial" w:hAnsi="Arial" w:cs="Arial"/>
          <w:color w:val="000000"/>
          <w:sz w:val="20"/>
          <w:szCs w:val="20"/>
        </w:rPr>
        <w:t> </w:t>
      </w:r>
      <w:r>
        <w:rPr>
          <w:rFonts w:ascii="Arial" w:hAnsi="Arial" w:cs="Arial"/>
          <w:color w:val="000000"/>
          <w:sz w:val="20"/>
          <w:szCs w:val="20"/>
        </w:rPr>
        <w:t>catastrophic injuries quality of life</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spacing w:after="150"/>
        <w:rPr>
          <w:rFonts w:ascii="Arial" w:hAnsi="Arial" w:cs="Arial"/>
          <w:color w:val="000000"/>
          <w:sz w:val="20"/>
          <w:szCs w:val="20"/>
        </w:rPr>
      </w:pP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333333"/>
          <w:sz w:val="25"/>
          <w:szCs w:val="25"/>
        </w:rPr>
      </w:pPr>
      <w:r w:rsidRPr="008B55FF">
        <w:rPr>
          <w:rFonts w:ascii="Arial" w:hAnsi="Arial" w:cs="Arial"/>
          <w:color w:val="333333"/>
          <w:sz w:val="25"/>
          <w:szCs w:val="25"/>
        </w:rPr>
        <w:t xml:space="preserve"> </w:t>
      </w:r>
      <w:hyperlink r:id="rId177" w:history="1">
        <w:r>
          <w:rPr>
            <w:rStyle w:val="Hyperlink"/>
            <w:rFonts w:ascii="Arial" w:eastAsiaTheme="majorEastAsia" w:hAnsi="Arial" w:cs="Arial"/>
            <w:color w:val="337AB7"/>
            <w:sz w:val="25"/>
            <w:szCs w:val="25"/>
          </w:rPr>
          <w:t>Dr Ghulam Rasool Madni</w:t>
        </w:r>
      </w:hyperlink>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5"/>
          <w:szCs w:val="25"/>
        </w:rPr>
      </w:pPr>
      <w:r>
        <w:rPr>
          <w:rFonts w:ascii="Arial" w:hAnsi="Arial" w:cs="Arial"/>
          <w:color w:val="000000"/>
          <w:sz w:val="25"/>
          <w:szCs w:val="25"/>
        </w:rPr>
        <w:t xml:space="preserve">Assistant Professor, The University of Lahore </w:t>
      </w:r>
    </w:p>
    <w:p w:rsidR="00D46BF9" w:rsidRDefault="00D46BF9" w:rsidP="000A0DEC">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r>
        <w:rPr>
          <w:rStyle w:val="Strong"/>
          <w:rFonts w:ascii="Arial" w:hAnsi="Arial" w:cs="Arial"/>
          <w:color w:val="000000"/>
          <w:sz w:val="20"/>
          <w:szCs w:val="20"/>
        </w:rPr>
        <w:t>Keywords:</w:t>
      </w:r>
      <w:r>
        <w:rPr>
          <w:rStyle w:val="apple-converted-space"/>
          <w:rFonts w:ascii="Arial" w:hAnsi="Arial" w:cs="Arial"/>
          <w:color w:val="000000"/>
          <w:sz w:val="20"/>
          <w:szCs w:val="20"/>
        </w:rPr>
        <w:t> </w:t>
      </w:r>
      <w:r w:rsidR="000A0DEC">
        <w:rPr>
          <w:rFonts w:ascii="Arial" w:hAnsi="Arial" w:cs="Arial"/>
          <w:color w:val="000000"/>
          <w:sz w:val="20"/>
          <w:szCs w:val="20"/>
        </w:rPr>
        <w:t>Formal Rules and Informal Norms</w:t>
      </w:r>
    </w:p>
    <w:p w:rsidR="0038263B" w:rsidRDefault="0038263B" w:rsidP="000A0DEC">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333333"/>
          <w:sz w:val="25"/>
          <w:szCs w:val="25"/>
        </w:rPr>
      </w:pPr>
      <w:r>
        <w:rPr>
          <w:rFonts w:ascii="Arial" w:hAnsi="Arial" w:cs="Arial"/>
          <w:color w:val="000000"/>
          <w:sz w:val="20"/>
          <w:szCs w:val="20"/>
        </w:rPr>
        <w:t xml:space="preserve"> </w:t>
      </w:r>
      <w:hyperlink r:id="rId178" w:history="1">
        <w:r>
          <w:rPr>
            <w:rStyle w:val="Hyperlink"/>
            <w:rFonts w:ascii="Arial" w:eastAsiaTheme="majorEastAsia" w:hAnsi="Arial" w:cs="Arial"/>
            <w:color w:val="337AB7"/>
            <w:sz w:val="25"/>
            <w:szCs w:val="25"/>
          </w:rPr>
          <w:t>Dr Bienvenido Ortega</w:t>
        </w:r>
      </w:hyperlink>
    </w:p>
    <w:p w:rsidR="00D46BF9" w:rsidRDefault="00D46BF9" w:rsidP="00D46BF9">
      <w:pPr>
        <w:pStyle w:val="contact-title"/>
        <w:pBdr>
          <w:top w:val="single" w:sz="6" w:space="8" w:color="DDDDDD"/>
          <w:left w:val="single" w:sz="2" w:space="11" w:color="DDDDDD"/>
          <w:bottom w:val="single" w:sz="6" w:space="8" w:color="DDDDDD"/>
          <w:right w:val="single" w:sz="2" w:space="11" w:color="DDDDDD"/>
        </w:pBdr>
        <w:shd w:val="clear" w:color="auto" w:fill="FFFFFF"/>
        <w:spacing w:before="0" w:beforeAutospacing="0" w:after="0" w:afterAutospacing="0"/>
        <w:rPr>
          <w:rFonts w:ascii="Arial" w:hAnsi="Arial" w:cs="Arial"/>
          <w:color w:val="000000"/>
          <w:sz w:val="25"/>
          <w:szCs w:val="25"/>
        </w:rPr>
      </w:pPr>
      <w:r>
        <w:rPr>
          <w:rFonts w:ascii="Arial" w:hAnsi="Arial" w:cs="Arial"/>
          <w:color w:val="000000"/>
          <w:sz w:val="25"/>
          <w:szCs w:val="25"/>
        </w:rPr>
        <w:t xml:space="preserve">Associate Professor, </w:t>
      </w:r>
      <w:r w:rsidRPr="008B55FF">
        <w:rPr>
          <w:rFonts w:ascii="Arial" w:hAnsi="Arial" w:cs="Arial"/>
          <w:color w:val="000000"/>
          <w:sz w:val="25"/>
          <w:szCs w:val="25"/>
        </w:rPr>
        <w:t>University of Malaga</w:t>
      </w:r>
      <w:r>
        <w:rPr>
          <w:rFonts w:ascii="Arial" w:hAnsi="Arial" w:cs="Arial"/>
          <w:color w:val="000000"/>
          <w:sz w:val="25"/>
          <w:szCs w:val="25"/>
        </w:rPr>
        <w:t>, Spain</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r>
        <w:rPr>
          <w:rStyle w:val="Strong"/>
          <w:rFonts w:ascii="Arial" w:hAnsi="Arial" w:cs="Arial"/>
          <w:color w:val="000000"/>
          <w:sz w:val="20"/>
          <w:szCs w:val="20"/>
        </w:rPr>
        <w:t>Keywords:</w:t>
      </w:r>
      <w:r>
        <w:rPr>
          <w:rStyle w:val="apple-converted-space"/>
          <w:rFonts w:ascii="Arial" w:hAnsi="Arial" w:cs="Arial"/>
          <w:color w:val="000000"/>
          <w:sz w:val="20"/>
          <w:szCs w:val="20"/>
        </w:rPr>
        <w:t> </w:t>
      </w:r>
      <w:r>
        <w:rPr>
          <w:rFonts w:ascii="Arial" w:hAnsi="Arial" w:cs="Arial"/>
          <w:color w:val="000000"/>
          <w:sz w:val="20"/>
          <w:szCs w:val="20"/>
        </w:rPr>
        <w:t>Human development, Tourism, Regional Analysis</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p>
    <w:p w:rsidR="00D46BF9" w:rsidRDefault="00DF3874" w:rsidP="00D46BF9">
      <w:pPr>
        <w:pStyle w:val="blue"/>
        <w:pBdr>
          <w:top w:val="single" w:sz="6" w:space="8" w:color="DDDDDD"/>
          <w:left w:val="single" w:sz="2" w:space="11" w:color="DDDDDD"/>
          <w:bottom w:val="single" w:sz="6" w:space="8" w:color="DDDDDD"/>
          <w:right w:val="single" w:sz="2" w:space="11" w:color="DDDDDD"/>
        </w:pBdr>
        <w:shd w:val="clear" w:color="auto" w:fill="FFFFFF"/>
        <w:spacing w:before="0" w:beforeAutospacing="0" w:after="0" w:afterAutospacing="0"/>
        <w:rPr>
          <w:rFonts w:ascii="Arial" w:hAnsi="Arial" w:cs="Arial"/>
          <w:color w:val="333333"/>
          <w:sz w:val="25"/>
          <w:szCs w:val="25"/>
        </w:rPr>
      </w:pPr>
      <w:hyperlink r:id="rId179" w:history="1">
        <w:r w:rsidR="00D46BF9">
          <w:rPr>
            <w:rStyle w:val="Hyperlink"/>
            <w:rFonts w:ascii="Arial" w:eastAsiaTheme="majorEastAsia" w:hAnsi="Arial" w:cs="Arial"/>
            <w:color w:val="337AB7"/>
            <w:sz w:val="25"/>
            <w:szCs w:val="25"/>
          </w:rPr>
          <w:t>Dr Adriano Pareto</w:t>
        </w:r>
      </w:hyperlink>
    </w:p>
    <w:p w:rsidR="00D46BF9" w:rsidRDefault="00D46BF9" w:rsidP="00D46BF9">
      <w:pPr>
        <w:pStyle w:val="contact-title"/>
        <w:pBdr>
          <w:top w:val="single" w:sz="6" w:space="8" w:color="DDDDDD"/>
          <w:left w:val="single" w:sz="2" w:space="11" w:color="DDDDDD"/>
          <w:bottom w:val="single" w:sz="6" w:space="8" w:color="DDDDDD"/>
          <w:right w:val="single" w:sz="2" w:space="11" w:color="DDDDDD"/>
        </w:pBdr>
        <w:shd w:val="clear" w:color="auto" w:fill="FFFFFF"/>
        <w:spacing w:before="0" w:beforeAutospacing="0" w:after="0" w:afterAutospacing="0"/>
        <w:rPr>
          <w:rFonts w:ascii="Arial" w:hAnsi="Arial" w:cs="Arial"/>
          <w:color w:val="000000"/>
          <w:sz w:val="25"/>
          <w:szCs w:val="25"/>
        </w:rPr>
      </w:pPr>
      <w:r>
        <w:rPr>
          <w:rFonts w:ascii="Arial" w:hAnsi="Arial" w:cs="Arial"/>
          <w:color w:val="000000"/>
          <w:sz w:val="25"/>
          <w:szCs w:val="25"/>
        </w:rPr>
        <w:t>Researcher, Italian National Institute of Statistics, Italy</w:t>
      </w:r>
    </w:p>
    <w:p w:rsidR="00D46BF9" w:rsidRDefault="00D46BF9" w:rsidP="000A0DEC">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r>
        <w:rPr>
          <w:rStyle w:val="Strong"/>
          <w:rFonts w:ascii="Arial" w:hAnsi="Arial" w:cs="Arial"/>
          <w:color w:val="000000"/>
          <w:sz w:val="20"/>
          <w:szCs w:val="20"/>
        </w:rPr>
        <w:t>Keywords:</w:t>
      </w:r>
      <w:r>
        <w:rPr>
          <w:rStyle w:val="apple-converted-space"/>
          <w:rFonts w:ascii="Arial" w:hAnsi="Arial" w:cs="Arial"/>
          <w:color w:val="000000"/>
          <w:sz w:val="20"/>
          <w:szCs w:val="20"/>
        </w:rPr>
        <w:t> </w:t>
      </w:r>
      <w:r>
        <w:rPr>
          <w:rFonts w:ascii="Arial" w:hAnsi="Arial" w:cs="Arial"/>
          <w:color w:val="000000"/>
          <w:sz w:val="20"/>
          <w:szCs w:val="20"/>
        </w:rPr>
        <w:t>Data analysis, C</w:t>
      </w:r>
      <w:r w:rsidR="000A0DEC">
        <w:rPr>
          <w:rFonts w:ascii="Arial" w:hAnsi="Arial" w:cs="Arial"/>
          <w:color w:val="000000"/>
          <w:sz w:val="20"/>
          <w:szCs w:val="20"/>
        </w:rPr>
        <w:t>omposite indicators, Well-being</w:t>
      </w:r>
    </w:p>
    <w:p w:rsidR="000A0DEC" w:rsidRPr="000A0DEC" w:rsidRDefault="000A0DEC" w:rsidP="000A0DEC">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p>
    <w:p w:rsidR="00D46BF9" w:rsidRDefault="00DF3874" w:rsidP="00D46BF9">
      <w:pPr>
        <w:pStyle w:val="blue"/>
        <w:pBdr>
          <w:top w:val="single" w:sz="6" w:space="8" w:color="DDDDDD"/>
          <w:left w:val="single" w:sz="2" w:space="11" w:color="DDDDDD"/>
          <w:bottom w:val="single" w:sz="6" w:space="8" w:color="DDDDDD"/>
          <w:right w:val="single" w:sz="2" w:space="11" w:color="DDDDDD"/>
        </w:pBdr>
        <w:shd w:val="clear" w:color="auto" w:fill="FFFFFF"/>
        <w:spacing w:before="0" w:beforeAutospacing="0" w:after="0" w:afterAutospacing="0"/>
        <w:rPr>
          <w:rFonts w:ascii="Arial" w:hAnsi="Arial" w:cs="Arial"/>
          <w:color w:val="333333"/>
          <w:sz w:val="25"/>
          <w:szCs w:val="25"/>
        </w:rPr>
      </w:pPr>
      <w:hyperlink r:id="rId180" w:history="1">
        <w:proofErr w:type="spellStart"/>
        <w:r w:rsidR="00D46BF9">
          <w:rPr>
            <w:rStyle w:val="Hyperlink"/>
            <w:rFonts w:ascii="Arial" w:eastAsiaTheme="majorEastAsia" w:hAnsi="Arial" w:cs="Arial"/>
            <w:color w:val="337AB7"/>
            <w:sz w:val="25"/>
            <w:szCs w:val="25"/>
          </w:rPr>
          <w:t>Dr.</w:t>
        </w:r>
        <w:proofErr w:type="spellEnd"/>
        <w:r w:rsidR="00D46BF9">
          <w:rPr>
            <w:rStyle w:val="Hyperlink"/>
            <w:rFonts w:ascii="Arial" w:eastAsiaTheme="majorEastAsia" w:hAnsi="Arial" w:cs="Arial"/>
            <w:color w:val="337AB7"/>
            <w:sz w:val="25"/>
            <w:szCs w:val="25"/>
          </w:rPr>
          <w:t xml:space="preserve"> Nopphol Witvorapong</w:t>
        </w:r>
      </w:hyperlink>
    </w:p>
    <w:p w:rsidR="00D46BF9" w:rsidRDefault="00D46BF9" w:rsidP="00D46BF9">
      <w:pPr>
        <w:pStyle w:val="contact-title"/>
        <w:pBdr>
          <w:top w:val="single" w:sz="6" w:space="8" w:color="DDDDDD"/>
          <w:left w:val="single" w:sz="2" w:space="11" w:color="DDDDDD"/>
          <w:bottom w:val="single" w:sz="6" w:space="8" w:color="DDDDDD"/>
          <w:right w:val="single" w:sz="2" w:space="11" w:color="DDDDDD"/>
        </w:pBdr>
        <w:shd w:val="clear" w:color="auto" w:fill="FFFFFF"/>
        <w:spacing w:before="0" w:beforeAutospacing="0" w:after="0" w:afterAutospacing="0"/>
        <w:rPr>
          <w:rFonts w:ascii="Arial" w:hAnsi="Arial" w:cs="Arial"/>
          <w:color w:val="000000"/>
          <w:sz w:val="25"/>
          <w:szCs w:val="25"/>
        </w:rPr>
      </w:pPr>
      <w:r>
        <w:rPr>
          <w:rFonts w:ascii="Arial" w:hAnsi="Arial" w:cs="Arial"/>
          <w:color w:val="000000"/>
          <w:sz w:val="25"/>
          <w:szCs w:val="25"/>
        </w:rPr>
        <w:t xml:space="preserve">Assistant Professor, Faculty of Economics, </w:t>
      </w:r>
      <w:proofErr w:type="spellStart"/>
      <w:r>
        <w:rPr>
          <w:rFonts w:ascii="Arial" w:hAnsi="Arial" w:cs="Arial"/>
          <w:color w:val="000000"/>
          <w:sz w:val="25"/>
          <w:szCs w:val="25"/>
        </w:rPr>
        <w:t>Chulalongkorn</w:t>
      </w:r>
      <w:proofErr w:type="spellEnd"/>
      <w:r>
        <w:rPr>
          <w:rFonts w:ascii="Arial" w:hAnsi="Arial" w:cs="Arial"/>
          <w:color w:val="000000"/>
          <w:sz w:val="25"/>
          <w:szCs w:val="25"/>
        </w:rPr>
        <w:t xml:space="preserve"> University, Thailand</w:t>
      </w:r>
    </w:p>
    <w:p w:rsidR="00D46BF9" w:rsidRDefault="00D46BF9" w:rsidP="00D46BF9">
      <w:pPr>
        <w:pStyle w:val="NormalWeb"/>
        <w:pBdr>
          <w:top w:val="single" w:sz="6" w:space="8" w:color="DDDDDD"/>
          <w:left w:val="single" w:sz="2" w:space="11" w:color="DDDDDD"/>
          <w:bottom w:val="single" w:sz="6" w:space="8" w:color="DDDDDD"/>
          <w:right w:val="single" w:sz="2" w:space="11" w:color="DDDDDD"/>
        </w:pBdr>
        <w:shd w:val="clear" w:color="auto" w:fill="FFFFFF"/>
        <w:rPr>
          <w:rFonts w:ascii="Arial" w:hAnsi="Arial" w:cs="Arial"/>
          <w:color w:val="000000"/>
          <w:sz w:val="20"/>
          <w:szCs w:val="20"/>
        </w:rPr>
      </w:pPr>
      <w:r>
        <w:rPr>
          <w:rStyle w:val="Strong"/>
          <w:rFonts w:ascii="Arial" w:hAnsi="Arial" w:cs="Arial"/>
          <w:color w:val="000000"/>
          <w:sz w:val="20"/>
          <w:szCs w:val="20"/>
        </w:rPr>
        <w:t>Keywords:</w:t>
      </w:r>
      <w:r>
        <w:rPr>
          <w:rStyle w:val="apple-converted-space"/>
          <w:rFonts w:ascii="Arial" w:hAnsi="Arial" w:cs="Arial"/>
          <w:color w:val="000000"/>
          <w:sz w:val="20"/>
          <w:szCs w:val="20"/>
        </w:rPr>
        <w:t> </w:t>
      </w:r>
      <w:r>
        <w:rPr>
          <w:rFonts w:ascii="Arial" w:hAnsi="Arial" w:cs="Arial"/>
          <w:color w:val="000000"/>
          <w:sz w:val="20"/>
          <w:szCs w:val="20"/>
        </w:rPr>
        <w:t>Social Capital; Subjective Wellbeing; Happiness; Health</w:t>
      </w:r>
    </w:p>
    <w:p w:rsidR="00284041" w:rsidRPr="00BB5D46" w:rsidRDefault="00284041" w:rsidP="00284041">
      <w:pPr>
        <w:rPr>
          <w:rFonts w:eastAsia="Calibri" w:cs="Times New Roman"/>
          <w:i/>
          <w:szCs w:val="22"/>
          <w:u w:val="single"/>
        </w:rPr>
      </w:pPr>
    </w:p>
    <w:p w:rsidR="00284041" w:rsidRDefault="00284041" w:rsidP="00284041">
      <w:pPr>
        <w:pStyle w:val="NormalWeb"/>
        <w:rPr>
          <w:rFonts w:ascii="Arial" w:hAnsi="Arial" w:cs="Arial"/>
          <w:b/>
          <w:color w:val="000000"/>
          <w:sz w:val="20"/>
          <w:szCs w:val="20"/>
        </w:rPr>
      </w:pPr>
      <w:r>
        <w:rPr>
          <w:rFonts w:ascii="Arial" w:hAnsi="Arial" w:cs="Arial"/>
          <w:b/>
          <w:color w:val="000000"/>
          <w:sz w:val="20"/>
          <w:szCs w:val="20"/>
        </w:rPr>
        <w:t>-----------------------</w:t>
      </w:r>
    </w:p>
    <w:p w:rsidR="00284041" w:rsidRPr="002C296F" w:rsidRDefault="00284041" w:rsidP="00284041">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A0125F" w:rsidRPr="00A0125F" w:rsidRDefault="00A0125F" w:rsidP="00A0125F">
      <w:pPr>
        <w:ind w:left="720" w:hanging="720"/>
        <w:rPr>
          <w:rFonts w:eastAsia="Calibri" w:cs="Times New Roman"/>
          <w:noProof/>
          <w:sz w:val="22"/>
          <w:szCs w:val="22"/>
          <w:lang w:val="en-US"/>
        </w:rPr>
      </w:pPr>
      <w:r w:rsidRPr="00A0125F">
        <w:rPr>
          <w:rFonts w:eastAsia="Calibri" w:cs="Times New Roman"/>
          <w:noProof/>
          <w:sz w:val="22"/>
          <w:szCs w:val="22"/>
          <w:lang w:val="en-US"/>
        </w:rPr>
        <w:fldChar w:fldCharType="begin"/>
      </w:r>
      <w:r w:rsidRPr="00A0125F">
        <w:rPr>
          <w:rFonts w:eastAsia="Calibri" w:cs="Times New Roman"/>
          <w:noProof/>
          <w:sz w:val="22"/>
          <w:szCs w:val="22"/>
          <w:lang w:val="en-US"/>
        </w:rPr>
        <w:instrText xml:space="preserve"> ADDIN EN.REFLIST </w:instrText>
      </w:r>
      <w:r w:rsidRPr="00A0125F">
        <w:rPr>
          <w:rFonts w:eastAsia="Calibri" w:cs="Times New Roman"/>
          <w:noProof/>
          <w:sz w:val="22"/>
          <w:szCs w:val="22"/>
          <w:lang w:val="en-US"/>
        </w:rPr>
        <w:fldChar w:fldCharType="separate"/>
      </w:r>
      <w:r w:rsidRPr="00A0125F">
        <w:rPr>
          <w:rFonts w:eastAsia="Calibri" w:cs="Times New Roman"/>
          <w:noProof/>
          <w:sz w:val="22"/>
          <w:szCs w:val="22"/>
          <w:lang w:val="en-US"/>
        </w:rPr>
        <w:t xml:space="preserve">Anglim, J., Weinberg, M. K., &amp; Cummins, R. A. (2015). Bayesian hierarchical modeling of the temporal dynamics of subjective well-being: A 10 year longitudinal analysis. </w:t>
      </w:r>
      <w:r w:rsidRPr="00A0125F">
        <w:rPr>
          <w:rFonts w:eastAsia="Calibri" w:cs="Times New Roman"/>
          <w:i/>
          <w:noProof/>
          <w:sz w:val="22"/>
          <w:szCs w:val="22"/>
          <w:lang w:val="en-US"/>
        </w:rPr>
        <w:t>Journal of Research in Personality, 59</w:t>
      </w:r>
      <w:r w:rsidRPr="00A0125F">
        <w:rPr>
          <w:rFonts w:eastAsia="Calibri" w:cs="Times New Roman"/>
          <w:noProof/>
          <w:sz w:val="22"/>
          <w:szCs w:val="22"/>
          <w:lang w:val="en-US"/>
        </w:rPr>
        <w:t>(3), 1-14. doi:10.1016/j.jrp.2015.08.003</w:t>
      </w:r>
    </w:p>
    <w:p w:rsidR="00A0125F" w:rsidRPr="00A0125F" w:rsidRDefault="00A0125F" w:rsidP="00A0125F">
      <w:pPr>
        <w:ind w:left="720" w:hanging="720"/>
        <w:rPr>
          <w:rFonts w:eastAsia="Calibri" w:cs="Times New Roman"/>
          <w:noProof/>
          <w:sz w:val="22"/>
          <w:szCs w:val="22"/>
          <w:lang w:val="en-US"/>
        </w:rPr>
      </w:pPr>
      <w:r w:rsidRPr="00A0125F">
        <w:rPr>
          <w:rFonts w:eastAsia="Calibri" w:cs="Times New Roman"/>
          <w:noProof/>
          <w:sz w:val="22"/>
          <w:szCs w:val="22"/>
          <w:lang w:val="en-US"/>
        </w:rPr>
        <w:lastRenderedPageBreak/>
        <w:t xml:space="preserve">Brown, N. J. L., &amp; Rohrer, J. M. (2019). Easy as (happiness) Pie? A Critical Evaluation of a Popular Model of the Determinants of Well-being. </w:t>
      </w:r>
      <w:r w:rsidRPr="00A0125F">
        <w:rPr>
          <w:rFonts w:eastAsia="Calibri" w:cs="Times New Roman"/>
          <w:i/>
          <w:noProof/>
          <w:sz w:val="22"/>
          <w:szCs w:val="22"/>
          <w:lang w:val="en-US"/>
        </w:rPr>
        <w:t>Journal of Happiness Studies</w:t>
      </w:r>
      <w:r w:rsidRPr="00A0125F">
        <w:rPr>
          <w:rFonts w:eastAsia="Calibri" w:cs="Times New Roman"/>
          <w:noProof/>
          <w:sz w:val="22"/>
          <w:szCs w:val="22"/>
          <w:lang w:val="en-US"/>
        </w:rPr>
        <w:t xml:space="preserve">, 1-17. </w:t>
      </w:r>
    </w:p>
    <w:p w:rsidR="00A0125F" w:rsidRPr="00A0125F" w:rsidRDefault="00A0125F" w:rsidP="00A0125F">
      <w:pPr>
        <w:ind w:left="720" w:hanging="720"/>
        <w:rPr>
          <w:rFonts w:eastAsia="Calibri" w:cs="Times New Roman"/>
          <w:noProof/>
          <w:sz w:val="22"/>
          <w:szCs w:val="22"/>
          <w:lang w:val="en-US"/>
        </w:rPr>
      </w:pPr>
      <w:r w:rsidRPr="00A0125F">
        <w:rPr>
          <w:rFonts w:eastAsia="Calibri" w:cs="Times New Roman"/>
          <w:noProof/>
          <w:sz w:val="22"/>
          <w:szCs w:val="22"/>
          <w:lang w:val="en-US"/>
        </w:rPr>
        <w:t xml:space="preserve">Capic, T., Li, N., &amp; Cummins, R. A. (2018). Confirmation of Subjective Wellbeing Set-points: Foundational for Subjective Social Indicators. </w:t>
      </w:r>
      <w:r w:rsidRPr="00A0125F">
        <w:rPr>
          <w:rFonts w:eastAsia="Calibri" w:cs="Times New Roman"/>
          <w:i/>
          <w:noProof/>
          <w:sz w:val="22"/>
          <w:szCs w:val="22"/>
          <w:lang w:val="en-US"/>
        </w:rPr>
        <w:t>Social Indicators Research, 137</w:t>
      </w:r>
      <w:r w:rsidRPr="00A0125F">
        <w:rPr>
          <w:rFonts w:eastAsia="Calibri" w:cs="Times New Roman"/>
          <w:noProof/>
          <w:sz w:val="22"/>
          <w:szCs w:val="22"/>
          <w:lang w:val="en-US"/>
        </w:rPr>
        <w:t xml:space="preserve">(1), 1-28. Retrieved from 10.1007/s11205-017-1585-5. </w:t>
      </w:r>
    </w:p>
    <w:p w:rsidR="00A0125F" w:rsidRPr="00A0125F" w:rsidRDefault="00A0125F" w:rsidP="00A0125F">
      <w:pPr>
        <w:ind w:left="720" w:hanging="720"/>
        <w:rPr>
          <w:rFonts w:eastAsia="Calibri" w:cs="Times New Roman"/>
          <w:noProof/>
          <w:sz w:val="22"/>
          <w:szCs w:val="22"/>
          <w:lang w:val="en-US"/>
        </w:rPr>
      </w:pPr>
      <w:r w:rsidRPr="00A0125F">
        <w:rPr>
          <w:rFonts w:eastAsia="Calibri" w:cs="Times New Roman"/>
          <w:noProof/>
          <w:sz w:val="22"/>
          <w:szCs w:val="22"/>
          <w:lang w:val="en-US"/>
        </w:rPr>
        <w:t xml:space="preserve">Cummins, R. A., Capic, T., Hutchinson, D., Fuller-Tyszkiewicz, M., Olsson, C. A., &amp; Richardson, B. (2018). Why self-report variables inter-correlate: The role of Homeostatically Protected Mood. </w:t>
      </w:r>
      <w:r w:rsidRPr="00A0125F">
        <w:rPr>
          <w:rFonts w:eastAsia="Calibri" w:cs="Times New Roman"/>
          <w:i/>
          <w:noProof/>
          <w:sz w:val="22"/>
          <w:szCs w:val="22"/>
          <w:lang w:val="en-US"/>
        </w:rPr>
        <w:t>Journal of Wellbeing Assessment, 2</w:t>
      </w:r>
      <w:r w:rsidRPr="00A0125F">
        <w:rPr>
          <w:rFonts w:eastAsia="Calibri" w:cs="Times New Roman"/>
          <w:noProof/>
          <w:sz w:val="22"/>
          <w:szCs w:val="22"/>
          <w:lang w:val="en-US"/>
        </w:rPr>
        <w:t>, 93-114. doi:10.1007/s41543-018-0014-0</w:t>
      </w:r>
    </w:p>
    <w:p w:rsidR="00A0125F" w:rsidRPr="00A0125F" w:rsidRDefault="00A0125F" w:rsidP="00A0125F">
      <w:pPr>
        <w:ind w:left="720" w:hanging="720"/>
        <w:rPr>
          <w:rFonts w:eastAsia="Calibri" w:cs="Times New Roman"/>
          <w:noProof/>
          <w:sz w:val="22"/>
          <w:szCs w:val="22"/>
          <w:lang w:val="en-US"/>
        </w:rPr>
      </w:pPr>
      <w:r w:rsidRPr="00A0125F">
        <w:rPr>
          <w:rFonts w:eastAsia="Calibri" w:cs="Times New Roman"/>
          <w:noProof/>
          <w:sz w:val="22"/>
          <w:szCs w:val="22"/>
        </w:rPr>
        <w:t xml:space="preserve">Lyubomirsky, S., Sheldon, K. M., &amp; Schkade, D. (2005). Pursuing happiness: the architecture of sustainable change. </w:t>
      </w:r>
      <w:r w:rsidRPr="00A0125F">
        <w:rPr>
          <w:rFonts w:eastAsia="Calibri" w:cs="Times New Roman"/>
          <w:i/>
          <w:iCs/>
          <w:noProof/>
          <w:sz w:val="22"/>
          <w:szCs w:val="22"/>
        </w:rPr>
        <w:t>Review of General Psychology, 9</w:t>
      </w:r>
      <w:r w:rsidRPr="00A0125F">
        <w:rPr>
          <w:rFonts w:eastAsia="Calibri" w:cs="Times New Roman"/>
          <w:noProof/>
          <w:sz w:val="22"/>
          <w:szCs w:val="22"/>
        </w:rPr>
        <w:t>, 111-131.</w:t>
      </w:r>
    </w:p>
    <w:p w:rsidR="00A0125F" w:rsidRPr="00A0125F" w:rsidRDefault="00A0125F" w:rsidP="00A0125F">
      <w:pPr>
        <w:ind w:left="720" w:hanging="720"/>
        <w:rPr>
          <w:rFonts w:eastAsia="Calibri" w:cs="Times New Roman"/>
          <w:noProof/>
          <w:sz w:val="22"/>
          <w:szCs w:val="22"/>
          <w:lang w:val="en-US"/>
        </w:rPr>
      </w:pPr>
      <w:r w:rsidRPr="00A0125F">
        <w:rPr>
          <w:rFonts w:eastAsia="Calibri" w:cs="Times New Roman"/>
          <w:noProof/>
          <w:sz w:val="22"/>
          <w:szCs w:val="22"/>
          <w:lang w:val="en-US"/>
        </w:rPr>
        <w:t xml:space="preserve">Seligman, M. E. P., &amp; Csikszentmihalyi, M. (2000). Positive psychology: an introduction. </w:t>
      </w:r>
      <w:r w:rsidRPr="00A0125F">
        <w:rPr>
          <w:rFonts w:eastAsia="Calibri" w:cs="Times New Roman"/>
          <w:i/>
          <w:noProof/>
          <w:sz w:val="22"/>
          <w:szCs w:val="22"/>
          <w:lang w:val="en-US"/>
        </w:rPr>
        <w:t>American Psychologist, 55</w:t>
      </w:r>
      <w:r w:rsidRPr="00A0125F">
        <w:rPr>
          <w:rFonts w:eastAsia="Calibri" w:cs="Times New Roman"/>
          <w:noProof/>
          <w:sz w:val="22"/>
          <w:szCs w:val="22"/>
          <w:lang w:val="en-US"/>
        </w:rPr>
        <w:t xml:space="preserve">, 5-15. </w:t>
      </w:r>
    </w:p>
    <w:p w:rsidR="00A0125F" w:rsidRPr="00A0125F" w:rsidRDefault="00A0125F" w:rsidP="00A0125F">
      <w:pPr>
        <w:ind w:left="720" w:hanging="720"/>
        <w:rPr>
          <w:rFonts w:eastAsia="Calibri" w:cs="Times New Roman"/>
          <w:noProof/>
          <w:sz w:val="22"/>
          <w:szCs w:val="22"/>
          <w:lang w:val="en-US"/>
        </w:rPr>
      </w:pPr>
      <w:r w:rsidRPr="00A0125F">
        <w:rPr>
          <w:rFonts w:eastAsia="Calibri" w:cs="Times New Roman"/>
          <w:noProof/>
          <w:sz w:val="22"/>
          <w:szCs w:val="22"/>
          <w:lang w:val="en-US"/>
        </w:rPr>
        <w:t xml:space="preserve">VanDam, N. T., van Vugt, M. K., Vago, D. R., Schmalzl, L., Saron, C. D., Olendzki, A., . . . Gorchov, J. (2018). Mind the hype: A critical evaluation and prescriptive agenda for research on mindfulness and meditation. </w:t>
      </w:r>
      <w:r w:rsidRPr="00A0125F">
        <w:rPr>
          <w:rFonts w:eastAsia="Calibri" w:cs="Times New Roman"/>
          <w:i/>
          <w:noProof/>
          <w:sz w:val="22"/>
          <w:szCs w:val="22"/>
          <w:lang w:val="en-US"/>
        </w:rPr>
        <w:t>Perspectives on Psychological Science, 13</w:t>
      </w:r>
      <w:r w:rsidRPr="00A0125F">
        <w:rPr>
          <w:rFonts w:eastAsia="Calibri" w:cs="Times New Roman"/>
          <w:noProof/>
          <w:sz w:val="22"/>
          <w:szCs w:val="22"/>
          <w:lang w:val="en-US"/>
        </w:rPr>
        <w:t xml:space="preserve">(1), 36-61. </w:t>
      </w:r>
    </w:p>
    <w:p w:rsidR="00284041" w:rsidRDefault="00A0125F" w:rsidP="00A0125F">
      <w:pPr>
        <w:rPr>
          <w:rFonts w:eastAsia="Arial" w:cs="Times New Roman"/>
          <w:b/>
          <w:sz w:val="28"/>
          <w:szCs w:val="28"/>
        </w:rPr>
      </w:pPr>
      <w:r w:rsidRPr="00A0125F">
        <w:rPr>
          <w:rFonts w:eastAsia="Calibri" w:cs="Times New Roman"/>
          <w:sz w:val="22"/>
          <w:szCs w:val="22"/>
        </w:rPr>
        <w:fldChar w:fldCharType="end"/>
      </w:r>
    </w:p>
    <w:p w:rsidR="00AD637D" w:rsidRPr="00BB5D46" w:rsidRDefault="00AD637D" w:rsidP="00AD637D">
      <w:pPr>
        <w:rPr>
          <w:rFonts w:eastAsia="Arial" w:cs="Times New Roman"/>
          <w:b/>
          <w:sz w:val="28"/>
          <w:szCs w:val="28"/>
        </w:rPr>
      </w:pPr>
      <w:proofErr w:type="spellStart"/>
      <w:r w:rsidRPr="00F273F0">
        <w:rPr>
          <w:rFonts w:eastAsia="Arial" w:cs="Times New Roman"/>
          <w:b/>
          <w:sz w:val="28"/>
          <w:szCs w:val="28"/>
          <w:highlight w:val="green"/>
        </w:rPr>
        <w:t>ACQol</w:t>
      </w:r>
      <w:proofErr w:type="spellEnd"/>
      <w:r w:rsidRPr="00F273F0">
        <w:rPr>
          <w:rFonts w:eastAsia="Arial" w:cs="Times New Roman"/>
          <w:b/>
          <w:sz w:val="28"/>
          <w:szCs w:val="28"/>
          <w:highlight w:val="green"/>
        </w:rPr>
        <w:t xml:space="preserve"> Bulletin Vol 3/</w:t>
      </w:r>
      <w:r w:rsidR="00284041" w:rsidRPr="00F273F0">
        <w:rPr>
          <w:rFonts w:eastAsia="Arial" w:cs="Times New Roman"/>
          <w:b/>
          <w:sz w:val="28"/>
          <w:szCs w:val="28"/>
          <w:highlight w:val="green"/>
        </w:rPr>
        <w:t>31</w:t>
      </w:r>
      <w:r w:rsidRPr="00F273F0">
        <w:rPr>
          <w:rFonts w:eastAsia="Arial" w:cs="Times New Roman"/>
          <w:b/>
          <w:sz w:val="28"/>
          <w:szCs w:val="28"/>
          <w:highlight w:val="green"/>
        </w:rPr>
        <w:t xml:space="preserve">: </w:t>
      </w:r>
      <w:r w:rsidR="00284041" w:rsidRPr="00F273F0">
        <w:rPr>
          <w:rFonts w:eastAsia="Arial" w:cs="Times New Roman"/>
          <w:b/>
          <w:sz w:val="28"/>
          <w:szCs w:val="28"/>
          <w:highlight w:val="green"/>
        </w:rPr>
        <w:t>010819</w:t>
      </w:r>
    </w:p>
    <w:p w:rsidR="00AD637D" w:rsidRPr="00BB5D46" w:rsidRDefault="00AD637D" w:rsidP="00AD637D">
      <w:pPr>
        <w:rPr>
          <w:rFonts w:eastAsia="Arial" w:cs="Times New Roman"/>
          <w:b/>
          <w:sz w:val="28"/>
          <w:szCs w:val="28"/>
        </w:rPr>
      </w:pPr>
      <w:r w:rsidRPr="00BB5D46">
        <w:rPr>
          <w:rFonts w:eastAsia="Arial" w:cs="Times New Roman"/>
          <w:b/>
          <w:sz w:val="28"/>
          <w:szCs w:val="28"/>
        </w:rPr>
        <w:t>Bulletin of the Australian Centre on Quality of Life</w:t>
      </w:r>
    </w:p>
    <w:p w:rsidR="00AD637D" w:rsidRPr="00BB5D46" w:rsidRDefault="00DF3874" w:rsidP="00AD637D">
      <w:pPr>
        <w:rPr>
          <w:rFonts w:eastAsia="Arial" w:cs="Times New Roman"/>
        </w:rPr>
      </w:pPr>
      <w:hyperlink r:id="rId181" w:history="1">
        <w:r w:rsidR="00AD637D" w:rsidRPr="00BB5D46">
          <w:rPr>
            <w:rFonts w:eastAsia="Arial" w:cs="Times New Roman"/>
            <w:color w:val="0563C1"/>
            <w:u w:val="single"/>
          </w:rPr>
          <w:t>http://www.acqol.com.au/</w:t>
        </w:r>
      </w:hyperlink>
    </w:p>
    <w:p w:rsidR="00AD637D" w:rsidRPr="00AE19B8" w:rsidRDefault="00AD637D" w:rsidP="00AD637D">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AD637D" w:rsidRPr="00BB5D46" w:rsidRDefault="00AD637D" w:rsidP="00AD637D">
      <w:pPr>
        <w:rPr>
          <w:rFonts w:eastAsia="Arial" w:cs="Times New Roman"/>
          <w:b/>
        </w:rPr>
      </w:pPr>
      <w:r w:rsidRPr="00BB5D46">
        <w:rPr>
          <w:rFonts w:eastAsia="Arial" w:cs="Times New Roman"/>
          <w:b/>
        </w:rPr>
        <w:t xml:space="preserve">Back-issues of the Bulletin are available at </w:t>
      </w:r>
      <w:hyperlink r:id="rId182" w:anchor="bulletins" w:history="1">
        <w:r w:rsidRPr="00BB5D46">
          <w:rPr>
            <w:rFonts w:eastAsia="Arial" w:cs="Times New Roman"/>
            <w:color w:val="0563C1"/>
            <w:u w:val="single"/>
          </w:rPr>
          <w:t>http://www.acqol.com.au/projects#bulletins</w:t>
        </w:r>
      </w:hyperlink>
    </w:p>
    <w:p w:rsidR="00AD637D" w:rsidRPr="00BB5D46" w:rsidRDefault="00AD637D" w:rsidP="00AD637D">
      <w:pPr>
        <w:rPr>
          <w:rFonts w:eastAsia="Arial" w:cs="Times New Roman"/>
          <w:color w:val="0563C1"/>
          <w:u w:val="single"/>
        </w:rPr>
      </w:pPr>
    </w:p>
    <w:p w:rsidR="00AD637D" w:rsidRPr="00BB5D46" w:rsidRDefault="00AD637D" w:rsidP="00AD637D">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AD637D" w:rsidRPr="00DC631F" w:rsidRDefault="00AD637D" w:rsidP="00AD637D">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AD637D" w:rsidRPr="00BB5D46" w:rsidRDefault="00AD637D" w:rsidP="00AD637D">
      <w:pPr>
        <w:rPr>
          <w:rFonts w:eastAsia="Arial" w:cs="Times New Roman"/>
        </w:rPr>
      </w:pPr>
    </w:p>
    <w:p w:rsidR="00AD637D" w:rsidRPr="00BB5D46" w:rsidRDefault="00AD637D" w:rsidP="00AD637D">
      <w:pPr>
        <w:rPr>
          <w:rFonts w:eastAsia="Arial" w:cs="Times New Roman"/>
        </w:rPr>
      </w:pPr>
    </w:p>
    <w:p w:rsidR="00AD637D" w:rsidRPr="00BB5D46" w:rsidRDefault="00AD637D" w:rsidP="00AD637D">
      <w:pPr>
        <w:jc w:val="center"/>
        <w:rPr>
          <w:rFonts w:eastAsia="Arial" w:cs="Times New Roman"/>
          <w:b/>
          <w:sz w:val="32"/>
          <w:szCs w:val="32"/>
        </w:rPr>
      </w:pPr>
      <w:r w:rsidRPr="00BB5D46">
        <w:rPr>
          <w:rFonts w:eastAsia="Arial" w:cs="Times New Roman"/>
          <w:b/>
          <w:sz w:val="32"/>
          <w:szCs w:val="32"/>
        </w:rPr>
        <w:t>Paper for private study</w:t>
      </w:r>
    </w:p>
    <w:p w:rsidR="00AD637D" w:rsidRDefault="00AD637D" w:rsidP="00AD637D">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AD637D" w:rsidRDefault="00AD637D" w:rsidP="00AD637D">
      <w:pPr>
        <w:jc w:val="center"/>
        <w:rPr>
          <w:rFonts w:eastAsia="Arial" w:cs="Times New Roman"/>
        </w:rPr>
      </w:pPr>
    </w:p>
    <w:p w:rsidR="00DC631F" w:rsidRPr="005317E8" w:rsidRDefault="00DC631F" w:rsidP="00DC631F">
      <w:r w:rsidRPr="005317E8">
        <w:rPr>
          <w:b/>
        </w:rPr>
        <w:t>Background:</w:t>
      </w:r>
      <w:r w:rsidRPr="005317E8">
        <w:t xml:space="preserve"> Kimina Lyall </w:t>
      </w:r>
      <w:hyperlink r:id="rId183" w:history="1">
        <w:r w:rsidRPr="005317E8">
          <w:rPr>
            <w:rStyle w:val="Hyperlink"/>
          </w:rPr>
          <w:t>klyall@deakin.edu.au</w:t>
        </w:r>
      </w:hyperlink>
      <w:r w:rsidRPr="005317E8">
        <w:t xml:space="preserve"> identified this article</w:t>
      </w:r>
      <w:r w:rsidR="00053A38">
        <w:t xml:space="preserve"> for discussion</w:t>
      </w:r>
      <w:r w:rsidRPr="005317E8">
        <w:t xml:space="preserve">. </w:t>
      </w:r>
    </w:p>
    <w:p w:rsidR="00DC631F" w:rsidRPr="005317E8" w:rsidRDefault="00DC631F" w:rsidP="00DC631F">
      <w:r w:rsidRPr="005317E8">
        <w:rPr>
          <w:i/>
        </w:rPr>
        <w:t>Cummins writes</w:t>
      </w:r>
      <w:r w:rsidRPr="005317E8">
        <w:t xml:space="preserve">: </w:t>
      </w:r>
    </w:p>
    <w:p w:rsidR="00DC631F" w:rsidRDefault="00DC631F" w:rsidP="00DC631F">
      <w:r>
        <w:t xml:space="preserve">It seems extraordinary that an article such as </w:t>
      </w:r>
      <w:r>
        <w:fldChar w:fldCharType="begin"/>
      </w:r>
      <w:r w:rsidR="00F409D4">
        <w:instrText xml:space="preserve"> ADDIN EN.CITE &lt;EndNote&gt;&lt;Cite AuthorYear="1"&gt;&lt;Author&gt;Lyubomirsky&lt;/Author&gt;&lt;Year&gt;2005&lt;/Year&gt;&lt;RecNum&gt;482&lt;/RecNum&gt;&lt;DisplayText&gt;Lyubomirsky et al. (2005)&lt;/DisplayText&gt;&lt;record&gt;&lt;rec-number&gt;482&lt;/rec-number&gt;&lt;foreign-keys&gt;&lt;key app="EN" db-id="z2xarpe9cfrvp4ezdxk5ddx9dsrzr05f22sa" timestamp="1343947764"&gt;482&lt;/key&gt;&lt;/foreign-keys&gt;&lt;ref-type name="Journal Article"&gt;17&lt;/ref-type&gt;&lt;contributors&gt;&lt;authors&gt;&lt;author&gt;Lyubomirsky, S.&lt;/author&gt;&lt;author&gt;Sheldon, K. M.&lt;/author&gt;&lt;author&gt;Schkade, D.&lt;/author&gt;&lt;/authors&gt;&lt;/contributors&gt;&lt;titles&gt;&lt;title&gt;Pursuing happiness: the architecture of sustainable change&lt;/title&gt;&lt;secondary-title&gt;Review of General Psychology&lt;/secondary-title&gt;&lt;/titles&gt;&lt;periodical&gt;&lt;full-title&gt;Review of General Psychology&lt;/full-title&gt;&lt;/periodical&gt;&lt;pages&gt;111-131&lt;/pages&gt;&lt;volume&gt;9&lt;/volume&gt;&lt;dates&gt;&lt;year&gt;2005&lt;/year&gt;&lt;/dates&gt;&lt;urls&gt;&lt;/urls&gt;&lt;/record&gt;&lt;/Cite&gt;&lt;/EndNote&gt;</w:instrText>
      </w:r>
      <w:r>
        <w:fldChar w:fldCharType="separate"/>
      </w:r>
      <w:r w:rsidR="00F409D4">
        <w:rPr>
          <w:noProof/>
        </w:rPr>
        <w:t>Lyubomirsky et al. (2005)</w:t>
      </w:r>
      <w:r>
        <w:fldChar w:fldCharType="end"/>
      </w:r>
      <w:r>
        <w:t xml:space="preserve"> has received </w:t>
      </w:r>
      <w:r w:rsidRPr="00B31CC9">
        <w:rPr>
          <w:i/>
        </w:rPr>
        <w:t>such little</w:t>
      </w:r>
      <w:r>
        <w:t xml:space="preserve"> </w:t>
      </w:r>
      <w:r w:rsidRPr="00F61542">
        <w:rPr>
          <w:i/>
        </w:rPr>
        <w:t>critical</w:t>
      </w:r>
      <w:r>
        <w:t xml:space="preserve"> attention. The host journal, Review of General Psychology, is a mainstream publication of the American Psychological Association. Moreover, as </w:t>
      </w:r>
      <w:r w:rsidRPr="00F61542">
        <w:t>Brown</w:t>
      </w:r>
      <w:r>
        <w:t xml:space="preserve"> </w:t>
      </w:r>
      <w:r w:rsidRPr="00F61542">
        <w:t>&amp; Rohrer</w:t>
      </w:r>
      <w:r>
        <w:t xml:space="preserve"> document, it contains such egregious errors of scientific reasoning such that its conclusions are worthless. So one might imagine that, in a scientifically alert community, such a publication would be a magnet for strongly worded critiques. Yet a search for critiques of this article over the intervening 14 years since publication yields very slim pickings. In addition to the three ‘blogs’ identified by </w:t>
      </w:r>
      <w:r w:rsidRPr="00F61542">
        <w:t>Brown</w:t>
      </w:r>
      <w:r>
        <w:t xml:space="preserve"> </w:t>
      </w:r>
      <w:r w:rsidRPr="00F61542">
        <w:t>&amp; Rohrer</w:t>
      </w:r>
      <w:r>
        <w:t xml:space="preserve">, there are a small number of other publications that offer comment in the context of broader reviews. </w:t>
      </w:r>
    </w:p>
    <w:p w:rsidR="00DC631F" w:rsidRDefault="00DC631F" w:rsidP="00DC631F"/>
    <w:p w:rsidR="00DC631F" w:rsidRDefault="00DC631F" w:rsidP="00DC631F">
      <w:r>
        <w:t xml:space="preserve">There are many contributing factors to this relative dearth of critical literature. One may be the relatively poor level of recognition that such articles achieve from other researchers in the area. </w:t>
      </w:r>
      <w:r w:rsidRPr="005317E8">
        <w:t xml:space="preserve">A </w:t>
      </w:r>
      <w:r>
        <w:t>ready</w:t>
      </w:r>
      <w:r w:rsidRPr="005317E8">
        <w:t xml:space="preserve"> observation within th</w:t>
      </w:r>
      <w:r>
        <w:t xml:space="preserve">e social-science literature is </w:t>
      </w:r>
      <w:r w:rsidRPr="005317E8">
        <w:t xml:space="preserve">that original articles, no matter how misguided, are cited far more frequently than the articles demonstrating why they should be ignored [see discussion of the Yerkes – Dodson Law: </w:t>
      </w:r>
      <w:proofErr w:type="spellStart"/>
      <w:r w:rsidRPr="005317E8">
        <w:t>ACQol</w:t>
      </w:r>
      <w:proofErr w:type="spellEnd"/>
      <w:r w:rsidRPr="005317E8">
        <w:t xml:space="preserve"> Bulletin Vol 3/29]. This is especially true of original articles that provide </w:t>
      </w:r>
      <w:r>
        <w:t xml:space="preserve">overly </w:t>
      </w:r>
      <w:r w:rsidRPr="005317E8">
        <w:t xml:space="preserve">simplistic explanations for complex phenomena. The critiques, on the other hand, are usually </w:t>
      </w:r>
      <w:r w:rsidR="00220C22">
        <w:t xml:space="preserve">themselves </w:t>
      </w:r>
      <w:r w:rsidRPr="005317E8">
        <w:t xml:space="preserve">complex </w:t>
      </w:r>
      <w:r w:rsidRPr="005317E8">
        <w:lastRenderedPageBreak/>
        <w:t xml:space="preserve">because they involve logic argument. </w:t>
      </w:r>
      <w:r>
        <w:t>As such, they are not attractive to researchers who are seeking support for simple ideas of how SWB works.</w:t>
      </w:r>
    </w:p>
    <w:p w:rsidR="00DC631F" w:rsidRPr="005317E8" w:rsidRDefault="00DC631F" w:rsidP="00DC631F"/>
    <w:p w:rsidR="00DC631F" w:rsidRPr="005317E8" w:rsidRDefault="00DC631F" w:rsidP="00DC631F">
      <w:r>
        <w:t>True to the above description, the</w:t>
      </w:r>
      <w:r w:rsidRPr="005317E8">
        <w:t xml:space="preserve"> article by </w:t>
      </w:r>
      <w:r>
        <w:fldChar w:fldCharType="begin"/>
      </w:r>
      <w:r>
        <w:instrText xml:space="preserve"> ADDIN EN.CITE &lt;EndNote&gt;&lt;Cite AuthorYear="1"&gt;&lt;Author&gt;Lyubomirsky&lt;/Author&gt;&lt;Year&gt;2005&lt;/Year&gt;&lt;RecNum&gt;482&lt;/RecNum&gt;&lt;DisplayText&gt;Lyubomirsky et al. (2005)&lt;/DisplayText&gt;&lt;record&gt;&lt;rec-number&gt;482&lt;/rec-number&gt;&lt;foreign-keys&gt;&lt;key app="EN" db-id="z2xarpe9cfrvp4ezdxk5ddx9dsrzr05f22sa" timestamp="1343947764"&gt;482&lt;/key&gt;&lt;/foreign-keys&gt;&lt;ref-type name="Journal Article"&gt;17&lt;/ref-type&gt;&lt;contributors&gt;&lt;authors&gt;&lt;author&gt;Lyubomirsky, S.&lt;/author&gt;&lt;author&gt;Sheldon, K. M.&lt;/author&gt;&lt;author&gt;Schkade, D.&lt;/author&gt;&lt;/authors&gt;&lt;/contributors&gt;&lt;titles&gt;&lt;title&gt;Pursuing happiness: the architecture of sustainable change&lt;/title&gt;&lt;secondary-title&gt;Review of General Psychology&lt;/secondary-title&gt;&lt;/titles&gt;&lt;periodical&gt;&lt;full-title&gt;Review of General Psychology&lt;/full-title&gt;&lt;/periodical&gt;&lt;pages&gt;111-131&lt;/pages&gt;&lt;volume&gt;9&lt;/volume&gt;&lt;dates&gt;&lt;year&gt;2005&lt;/year&gt;&lt;/dates&gt;&lt;urls&gt;&lt;/urls&gt;&lt;/record&gt;&lt;/Cite&gt;&lt;/EndNote&gt;</w:instrText>
      </w:r>
      <w:r>
        <w:fldChar w:fldCharType="separate"/>
      </w:r>
      <w:r>
        <w:rPr>
          <w:noProof/>
        </w:rPr>
        <w:t>Lyubomirsky et al. (2005)</w:t>
      </w:r>
      <w:r>
        <w:fldChar w:fldCharType="end"/>
      </w:r>
      <w:r>
        <w:t xml:space="preserve"> is a good example of an article that should be ignored, but is not. Quite the reverse. It has received over 3,000 citations, having been lauded by the proponents of positive psychology as evidence that personal happiness can be simply increased if the person takes appropriate steps to do so. Do read on.</w:t>
      </w:r>
    </w:p>
    <w:p w:rsidR="00DC631F" w:rsidRPr="005317E8" w:rsidRDefault="00DC631F" w:rsidP="00DC631F"/>
    <w:p w:rsidR="00DC631F" w:rsidRPr="005317E8" w:rsidRDefault="00DC631F" w:rsidP="00DC631F">
      <w:pPr>
        <w:rPr>
          <w:b/>
        </w:rPr>
      </w:pPr>
      <w:r w:rsidRPr="005317E8">
        <w:rPr>
          <w:b/>
        </w:rPr>
        <w:t>Reference</w:t>
      </w:r>
    </w:p>
    <w:p w:rsidR="00DC631F" w:rsidRPr="005317E8" w:rsidRDefault="00DC631F" w:rsidP="00DC631F">
      <w:r w:rsidRPr="005317E8">
        <w:t xml:space="preserve">Brown, N. J. L., &amp; Rohrer, J. M. (2019). Easy as (happiness) Pie? A Critical Evaluation of a Popular Model of the Determinants of Well-being. </w:t>
      </w:r>
      <w:r w:rsidRPr="005317E8">
        <w:rPr>
          <w:i/>
          <w:iCs/>
        </w:rPr>
        <w:t>Journal of Happiness Studies</w:t>
      </w:r>
      <w:r w:rsidRPr="005317E8">
        <w:t>, 1-17</w:t>
      </w:r>
    </w:p>
    <w:p w:rsidR="00DC631F" w:rsidRPr="005317E8" w:rsidRDefault="00DC631F" w:rsidP="00DC631F">
      <w:pPr>
        <w:rPr>
          <w:b/>
        </w:rPr>
      </w:pPr>
    </w:p>
    <w:p w:rsidR="00DC631F" w:rsidRDefault="00DC631F" w:rsidP="00DC631F">
      <w:r>
        <w:rPr>
          <w:b/>
        </w:rPr>
        <w:t>Author</w:t>
      </w:r>
      <w:r w:rsidRPr="005317E8">
        <w:rPr>
          <w:b/>
        </w:rPr>
        <w:t xml:space="preserve"> summary:</w:t>
      </w:r>
      <w:r w:rsidRPr="005317E8">
        <w:t xml:space="preserve"> </w:t>
      </w:r>
    </w:p>
    <w:p w:rsidR="00DC631F" w:rsidRPr="00510C05" w:rsidRDefault="00DC631F" w:rsidP="00DC631F">
      <w:pPr>
        <w:rPr>
          <w:i/>
        </w:rPr>
      </w:pPr>
      <w:r w:rsidRPr="00510C05">
        <w:rPr>
          <w:i/>
        </w:rPr>
        <w:t xml:space="preserve">An underlying principle behind much of the research in positive psychology is that individuals have considerable leeway to increase their levels of happiness. In an influential article that is frequently cited in support of such claims, </w:t>
      </w:r>
      <w:proofErr w:type="spellStart"/>
      <w:r w:rsidRPr="00510C05">
        <w:rPr>
          <w:i/>
        </w:rPr>
        <w:t>Lyubomirsky</w:t>
      </w:r>
      <w:proofErr w:type="spellEnd"/>
      <w:r w:rsidRPr="00510C05">
        <w:rPr>
          <w:i/>
        </w:rPr>
        <w:t xml:space="preserve"> et al. put forward a model (subsequently popularized under the name of the “happiness pie”) in which approximately 50% of individual differences in happiness are due to genetic factors and 10% to life circumstances, leaving 40% available to be changed via volitional activities. We re-examined </w:t>
      </w:r>
      <w:proofErr w:type="spellStart"/>
      <w:r w:rsidRPr="00510C05">
        <w:rPr>
          <w:i/>
        </w:rPr>
        <w:t>Lyubomirsky</w:t>
      </w:r>
      <w:proofErr w:type="spellEnd"/>
      <w:r w:rsidRPr="00510C05">
        <w:rPr>
          <w:i/>
        </w:rPr>
        <w:t xml:space="preserve"> et al.’s claims and found several apparent deficiencies in their chain of arguments on both the empirical and the conceptual level. We conclude that there is little empirical evidence for the variance decomposition suggested by the “happiness pie,” and that even if it were valid, it is not necessarily informative with respect to the question of whether individuals can truly exert substantial influence over their own chronic happiness level.</w:t>
      </w:r>
    </w:p>
    <w:p w:rsidR="00DC631F" w:rsidRPr="005317E8" w:rsidRDefault="00DC631F" w:rsidP="00DC631F">
      <w:pPr>
        <w:rPr>
          <w:b/>
        </w:rPr>
      </w:pPr>
    </w:p>
    <w:p w:rsidR="00DC631F" w:rsidRPr="005317E8" w:rsidRDefault="00DC631F" w:rsidP="00DC631F">
      <w:pPr>
        <w:rPr>
          <w:lang w:val="en-US"/>
        </w:rPr>
      </w:pPr>
      <w:r w:rsidRPr="005317E8">
        <w:rPr>
          <w:b/>
        </w:rPr>
        <w:t xml:space="preserve">Comment on </w:t>
      </w:r>
      <w:r w:rsidRPr="00510C05">
        <w:rPr>
          <w:b/>
          <w:i/>
        </w:rPr>
        <w:t>Brown</w:t>
      </w:r>
      <w:r>
        <w:rPr>
          <w:b/>
          <w:i/>
        </w:rPr>
        <w:t xml:space="preserve"> </w:t>
      </w:r>
      <w:r w:rsidRPr="00510C05">
        <w:rPr>
          <w:b/>
          <w:i/>
        </w:rPr>
        <w:t>&amp; Rohrer</w:t>
      </w:r>
      <w:r>
        <w:rPr>
          <w:b/>
          <w:i/>
        </w:rPr>
        <w:t xml:space="preserve"> (2019)</w:t>
      </w:r>
    </w:p>
    <w:p w:rsidR="00DC631F" w:rsidRPr="005317E8" w:rsidRDefault="00DC631F" w:rsidP="00DC631F">
      <w:pPr>
        <w:rPr>
          <w:i/>
        </w:rPr>
      </w:pPr>
      <w:r w:rsidRPr="005317E8">
        <w:rPr>
          <w:i/>
        </w:rPr>
        <w:t>Robert A. Cummins</w:t>
      </w:r>
    </w:p>
    <w:p w:rsidR="00DC631F" w:rsidRDefault="00DC631F" w:rsidP="00DC631F">
      <w:r>
        <w:t xml:space="preserve">The authors have done a fine job of questioning the validity of </w:t>
      </w:r>
      <w:r>
        <w:fldChar w:fldCharType="begin"/>
      </w:r>
      <w:r>
        <w:instrText xml:space="preserve"> ADDIN EN.CITE &lt;EndNote&gt;&lt;Cite AuthorYear="1"&gt;&lt;Author&gt;Lyubomirsky&lt;/Author&gt;&lt;Year&gt;2005&lt;/Year&gt;&lt;RecNum&gt;482&lt;/RecNum&gt;&lt;DisplayText&gt;Lyubomirsky et al. (2005)&lt;/DisplayText&gt;&lt;record&gt;&lt;rec-number&gt;482&lt;/rec-number&gt;&lt;foreign-keys&gt;&lt;key app="EN" db-id="z2xarpe9cfrvp4ezdxk5ddx9dsrzr05f22sa" timestamp="1343947764"&gt;482&lt;/key&gt;&lt;/foreign-keys&gt;&lt;ref-type name="Journal Article"&gt;17&lt;/ref-type&gt;&lt;contributors&gt;&lt;authors&gt;&lt;author&gt;Lyubomirsky, S.&lt;/author&gt;&lt;author&gt;Sheldon, K. M.&lt;/author&gt;&lt;author&gt;Schkade, D.&lt;/author&gt;&lt;/authors&gt;&lt;/contributors&gt;&lt;titles&gt;&lt;title&gt;Pursuing happiness: the architecture of sustainable change&lt;/title&gt;&lt;secondary-title&gt;Review of General Psychology&lt;/secondary-title&gt;&lt;/titles&gt;&lt;periodical&gt;&lt;full-title&gt;Review of General Psychology&lt;/full-title&gt;&lt;/periodical&gt;&lt;pages&gt;111-131&lt;/pages&gt;&lt;volume&gt;9&lt;/volume&gt;&lt;dates&gt;&lt;year&gt;2005&lt;/year&gt;&lt;/dates&gt;&lt;urls&gt;&lt;/urls&gt;&lt;/record&gt;&lt;/Cite&gt;&lt;/EndNote&gt;</w:instrText>
      </w:r>
      <w:r>
        <w:fldChar w:fldCharType="separate"/>
      </w:r>
      <w:r>
        <w:rPr>
          <w:noProof/>
        </w:rPr>
        <w:t>Lyubomirsky et al. (2005)</w:t>
      </w:r>
      <w:r>
        <w:fldChar w:fldCharType="end"/>
      </w:r>
      <w:r>
        <w:t>. However, there are additional levels of understanding as to why the</w:t>
      </w:r>
      <w:r w:rsidRPr="009733E5">
        <w:rPr>
          <w:noProof/>
        </w:rPr>
        <w:t xml:space="preserve"> </w:t>
      </w:r>
      <w:r>
        <w:rPr>
          <w:noProof/>
        </w:rPr>
        <w:t>Lyubomirsky et al.</w:t>
      </w:r>
      <w:r>
        <w:t xml:space="preserve"> claim is false, that “</w:t>
      </w:r>
      <w:r w:rsidRPr="00EF14A7">
        <w:rPr>
          <w:i/>
        </w:rPr>
        <w:t>individuals have considerable leeway to increase their levels of happiness</w:t>
      </w:r>
      <w:r>
        <w:rPr>
          <w:i/>
        </w:rPr>
        <w:t>”</w:t>
      </w:r>
      <w:r>
        <w:t>. There are three further sources of evidence against this proposition, each one consistent with the theory of subjective wellbeing homeostasis as:</w:t>
      </w:r>
    </w:p>
    <w:p w:rsidR="00DC631F" w:rsidRDefault="00DC631F" w:rsidP="00DC631F"/>
    <w:p w:rsidR="00DC631F" w:rsidRDefault="00DC631F" w:rsidP="00DC631F">
      <w:r>
        <w:t>1.  The highest level of subjective wellbeing (SWB) we have yet discovered, within statistically-cleaned, general population data, is about 80-82 pe</w:t>
      </w:r>
      <w:r w:rsidR="00220C22">
        <w:t xml:space="preserve">rcentage points (pp) on a 0-100pp </w:t>
      </w:r>
      <w:r w:rsidRPr="00DC5CD8">
        <w:t>scale. O</w:t>
      </w:r>
      <w:r>
        <w:t>ne</w:t>
      </w:r>
      <w:r w:rsidRPr="00DC5CD8">
        <w:t xml:space="preserve"> source is Australian Unity Wellbeing Index </w:t>
      </w:r>
      <w:r>
        <w:t>R</w:t>
      </w:r>
      <w:r w:rsidRPr="00DC5CD8">
        <w:t xml:space="preserve">eport 16.1 </w:t>
      </w:r>
      <w:r>
        <w:fldChar w:fldCharType="begin"/>
      </w:r>
      <w:r>
        <w:instrText xml:space="preserve"> ADDIN EN.CITE &lt;EndNote&gt;&lt;Cite&gt;&lt;Author&gt;Cummins&lt;/Author&gt;&lt;Year&gt;2007a&lt;/Year&gt;&lt;RecNum&gt;3894&lt;/RecNum&gt;&lt;DisplayText&gt;(Cummins, Walter, &amp;amp; Woerner, 2007a)&lt;/DisplayText&gt;&lt;record&gt;&lt;rec-number&gt;3894&lt;/rec-number&gt;&lt;foreign-keys&gt;&lt;key app="EN" db-id="z2xarpe9cfrvp4ezdxk5ddx9dsrzr05f22sa" timestamp="1564472382"&gt;3894&lt;/key&gt;&lt;/foreign-keys&gt;&lt;ref-type name="Book"&gt;6&lt;/ref-type&gt;&lt;contributors&gt;&lt;authors&gt;&lt;author&gt;Cummins, R. A.&lt;/author&gt;&lt;author&gt;Walter, J.&lt;/author&gt;&lt;author&gt;Woerner, J.&lt;/author&gt;&lt;/authors&gt;&lt;/contributors&gt;&lt;titles&gt;&lt;title&gt;Australian Unity Wellbeing Index: Report 16.1 - “The Wellbeing of Australians - Groups with the highest and lowest wellbeing in Australia”. &lt;/title&gt;&lt;/titles&gt;&lt;dates&gt;&lt;year&gt;2007a&lt;/year&gt;&lt;/dates&gt;&lt;pub-location&gt;Melbourne&lt;/pub-location&gt;&lt;publisher&gt;Australian Centre on Quality of Life, School of Psychology, Deakin University. http://www.acqol.com.au/publications#reports&lt;/publisher&gt;&lt;urls&gt;&lt;/urls&gt;&lt;/record&gt;&lt;/Cite&gt;&lt;/EndNote&gt;</w:instrText>
      </w:r>
      <w:r>
        <w:fldChar w:fldCharType="separate"/>
      </w:r>
      <w:r>
        <w:rPr>
          <w:noProof/>
        </w:rPr>
        <w:t>(Cummins, Walter, &amp; Woerner, 2007a)</w:t>
      </w:r>
      <w:r>
        <w:fldChar w:fldCharType="end"/>
      </w:r>
      <w:r>
        <w:t xml:space="preserve"> which used the aggregate data from the 15 population surveys conducted to that time. This report includes an investigation of subgroups with the highest (and lowest) SWB (Personal Wellbeing Index). The highest are people who have both a high income (&gt;$150,000pa) and a partner. Their average level of SWB is 79.3pp (author Figure 10). In a more recent report </w:t>
      </w:r>
      <w:r>
        <w:fldChar w:fldCharType="begin"/>
      </w:r>
      <w:r>
        <w:instrText xml:space="preserve"> ADDIN EN.CITE &lt;EndNote&gt;&lt;Cite&gt;&lt;Author&gt;Khor&lt;/Author&gt;&lt;Year&gt;2019&lt;/Year&gt;&lt;RecNum&gt;3867&lt;/RecNum&gt;&lt;Suffix&gt;`; Report 35.1`, in press&lt;/Suffix&gt;&lt;DisplayText&gt;(Khor et al., 2019; Report 35.1, in press)&lt;/DisplayText&gt;&lt;record&gt;&lt;rec-number&gt;3867&lt;/rec-number&gt;&lt;foreign-keys&gt;&lt;key app="EN" db-id="z2xarpe9cfrvp4ezdxk5ddx9dsrzr05f22sa" timestamp="1560492030"&gt;3867&lt;/key&gt;&lt;/foreign-keys&gt;&lt;ref-type name="Book"&gt;6&lt;/ref-type&gt;&lt;contributors&gt;&lt;authors&gt;&lt;author&gt;Khor, S.&lt;/author&gt;&lt;author&gt;Cummins, R. A.&lt;/author&gt;&lt;author&gt;Fuller-Tyszkiewicz, M.&lt;/author&gt;&lt;author&gt;Capic, T.&lt;/author&gt;&lt;author&gt;Garth, E.&lt;/author&gt;&lt;author&gt;Olsson, C. A.&lt;/author&gt;&lt;author&gt;Hutchinson, D.&lt;/author&gt;&lt;/authors&gt;&lt;/contributors&gt;&lt;titles&gt;&lt;title&gt;Australian Unity Wellbeing Index: - Report 35.1 Ageing Well: Predicting Positive Transitions to Retirement&lt;/title&gt;&lt;/titles&gt;&lt;dates&gt;&lt;year&gt;2019&lt;/year&gt;&lt;/dates&gt;&lt;pub-location&gt;Geelong&lt;/pub-location&gt;&lt;publisher&gt;Australian Centre on Quality of Life, School of Psychology, Deakin University. (in press).&lt;/publisher&gt;&lt;urls&gt;&lt;/urls&gt;&lt;/record&gt;&lt;/Cite&gt;&lt;/EndNote&gt;</w:instrText>
      </w:r>
      <w:r>
        <w:fldChar w:fldCharType="separate"/>
      </w:r>
      <w:r>
        <w:rPr>
          <w:noProof/>
        </w:rPr>
        <w:t>(Khor et al., 2019; Report 35.1, in press)</w:t>
      </w:r>
      <w:r>
        <w:fldChar w:fldCharType="end"/>
      </w:r>
      <w:r>
        <w:t>, which again uses combined data, this time from 27 surveys, the highest sub-group SWB is for people who have retired. While their PWI is at 76.73pp, Global Life Satisfaction is at 80.43pp. Clearly there appears to be a ceiling at around 80pp, and this is confirmed by empirically-tested theory.</w:t>
      </w:r>
    </w:p>
    <w:p w:rsidR="00DC631F" w:rsidRDefault="00DC631F" w:rsidP="00DC631F"/>
    <w:p w:rsidR="00DC631F" w:rsidRDefault="00DC631F" w:rsidP="00DC631F">
      <w:r>
        <w:t xml:space="preserve">2. In a recent publication confirming the existence of </w:t>
      </w:r>
      <w:proofErr w:type="spellStart"/>
      <w:r>
        <w:t>HPMood</w:t>
      </w:r>
      <w:proofErr w:type="spellEnd"/>
      <w:r>
        <w:t xml:space="preserve"> </w:t>
      </w:r>
      <w:proofErr w:type="spellStart"/>
      <w:r>
        <w:t>setpoints</w:t>
      </w:r>
      <w:proofErr w:type="spellEnd"/>
      <w:r>
        <w:t xml:space="preserve"> </w:t>
      </w:r>
      <w:r>
        <w:fldChar w:fldCharType="begin"/>
      </w:r>
      <w:r w:rsidR="00A0125F">
        <w:instrText xml:space="preserve"> ADDIN EN.CITE &lt;EndNote&gt;&lt;Cite&gt;&lt;Author&gt;Capic&lt;/Author&gt;&lt;Year&gt;2018&lt;/Year&gt;&lt;RecNum&gt;3195&lt;/RecNum&gt;&lt;DisplayText&gt;(Capic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fldChar w:fldCharType="separate"/>
      </w:r>
      <w:r w:rsidR="00A0125F">
        <w:rPr>
          <w:noProof/>
        </w:rPr>
        <w:t>(Capic et al., 2018)</w:t>
      </w:r>
      <w:r>
        <w:fldChar w:fldCharType="end"/>
      </w:r>
      <w:r>
        <w:t xml:space="preserve">, the distribution of individual set-points within the population is between 70 and 90pp, with a mean of 80pp. Thus, in order for a population sample to exceed 80pp, that sample must </w:t>
      </w:r>
      <w:r>
        <w:lastRenderedPageBreak/>
        <w:t xml:space="preserve">chronically experience a level of homeostatic support that not only negates the challenges but also provides a persistently positive experience. The latter is made even more difficult due to habituation and adaptation </w:t>
      </w:r>
      <w:r>
        <w:fldChar w:fldCharType="begin"/>
      </w:r>
      <w:r>
        <w:instrText xml:space="preserve"> ADDIN EN.CITE &lt;EndNote&gt;&lt;Cite&gt;&lt;Author&gt;Diener&lt;/Author&gt;&lt;Year&gt;1995&lt;/Year&gt;&lt;RecNum&gt;3600&lt;/RecNum&gt;&lt;DisplayText&gt;(Diener &amp;amp; Fujita, 1995)&lt;/DisplayText&gt;&lt;record&gt;&lt;rec-number&gt;3600&lt;/rec-number&gt;&lt;foreign-keys&gt;&lt;key app="EN" db-id="z2xarpe9cfrvp4ezdxk5ddx9dsrzr05f22sa" timestamp="1531367922"&gt;3600&lt;/key&gt;&lt;/foreign-keys&gt;&lt;ref-type name="Journal Article"&gt;17&lt;/ref-type&gt;&lt;contributors&gt;&lt;authors&gt;&lt;author&gt;Diener, E.&lt;/author&gt;&lt;author&gt;Fujita, Frank&lt;/author&gt;&lt;/authors&gt;&lt;/contributors&gt;&lt;titles&gt;&lt;title&gt;Resources, personal strivings, and subjective well-being: A nomothetic and idiographic approach&lt;/title&gt;&lt;secondary-title&gt;Journal of personality and social psychology&lt;/secondary-title&gt;&lt;/titles&gt;&lt;periodical&gt;&lt;full-title&gt;Journal of Personality and Social Psychology&lt;/full-title&gt;&lt;/periodical&gt;&lt;pages&gt;926-935&lt;/pages&gt;&lt;volume&gt;68&lt;/volume&gt;&lt;number&gt;5&lt;/number&gt;&lt;dates&gt;&lt;year&gt;1995&lt;/year&gt;&lt;/dates&gt;&lt;isbn&gt;1939-1315&lt;/isbn&gt;&lt;urls&gt;&lt;/urls&gt;&lt;/record&gt;&lt;/Cite&gt;&lt;/EndNote&gt;</w:instrText>
      </w:r>
      <w:r>
        <w:fldChar w:fldCharType="separate"/>
      </w:r>
      <w:r>
        <w:rPr>
          <w:noProof/>
        </w:rPr>
        <w:t>(Diener &amp; Fujita, 1995)</w:t>
      </w:r>
      <w:r>
        <w:fldChar w:fldCharType="end"/>
      </w:r>
      <w:r>
        <w:t>. It seems reasonable to conclude from this theoretical viewpoint, that group mean scores for SWB are rarely going to exceed 80pp.</w:t>
      </w:r>
    </w:p>
    <w:p w:rsidR="00DC631F" w:rsidRDefault="00DC631F" w:rsidP="00DC631F"/>
    <w:p w:rsidR="00DC631F" w:rsidRDefault="00DC631F" w:rsidP="00DC631F">
      <w:r>
        <w:t xml:space="preserve">3. The third source of evidence comes from empirical studies demonstrating that the extent to which SWB can be chronically increased, depends on its level at baseline. Essentially, given the approximate ceiling for group means scores of around 80pp, the lower is the baseline measure below 80pp, the more potential there is for an intervention to raise the level of SWB. This was demonstrated by </w:t>
      </w:r>
      <w:r>
        <w:fldChar w:fldCharType="begin"/>
      </w:r>
      <w:r>
        <w:instrText xml:space="preserve"> ADDIN EN.CITE &lt;EndNote&gt;&lt;Cite AuthorYear="1"&gt;&lt;Author&gt;Tomyn&lt;/Author&gt;&lt;Year&gt;2015&lt;/Year&gt;&lt;RecNum&gt;983&lt;/RecNum&gt;&lt;DisplayText&gt;Tomyn, Weinberg, and Cummins (2015)&lt;/DisplayText&gt;&lt;record&gt;&lt;rec-number&gt;983&lt;/rec-number&gt;&lt;foreign-keys&gt;&lt;key app="EN" db-id="z2xarpe9cfrvp4ezdxk5ddx9dsrzr05f22sa" timestamp="1374456864"&gt;983&lt;/key&gt;&lt;/foreign-keys&gt;&lt;ref-type name="Journal Article"&gt;17&lt;/ref-type&gt;&lt;contributors&gt;&lt;authors&gt;&lt;author&gt;Tomyn, A. J.&lt;/author&gt;&lt;author&gt;Weinberg, M. K.&lt;/author&gt;&lt;author&gt;Cummins, R. A.&lt;/author&gt;&lt;/authors&gt;&lt;/contributors&gt;&lt;titles&gt;&lt;title&gt;Intervention efficacy among ‘at risk’ adolescents: A test of Subjective Wellbeing Homeostasis Theory&lt;/title&gt;&lt;secondary-title&gt;Social Indicators Research&lt;/secondary-title&gt;&lt;/titles&gt;&lt;periodical&gt;&lt;full-title&gt;Social Indicators Research&lt;/full-title&gt;&lt;/periodical&gt;&lt;pages&gt;883-895&lt;/pages&gt;&lt;volume&gt;120&lt;/volume&gt;&lt;number&gt;3&lt;/number&gt;&lt;dates&gt;&lt;year&gt;2015&lt;/year&gt;&lt;/dates&gt;&lt;urls&gt;&lt;/urls&gt;&lt;electronic-resource-num&gt;10.1007/s11205-014-0619-5&lt;/electronic-resource-num&gt;&lt;/record&gt;&lt;/Cite&gt;&lt;/EndNote&gt;</w:instrText>
      </w:r>
      <w:r>
        <w:fldChar w:fldCharType="separate"/>
      </w:r>
      <w:r>
        <w:rPr>
          <w:noProof/>
        </w:rPr>
        <w:t>Tomyn, Weinberg, and Cummins (2015)</w:t>
      </w:r>
      <w:r>
        <w:fldChar w:fldCharType="end"/>
      </w:r>
      <w:r>
        <w:t xml:space="preserve"> who examined the outcome from a Government intervention program directed to a large national sample of </w:t>
      </w:r>
      <w:r w:rsidRPr="00EA2175">
        <w:t xml:space="preserve"> ‘at-risk’ adolescents.</w:t>
      </w:r>
      <w:r>
        <w:t xml:space="preserve"> For the purpose of data analysis, the</w:t>
      </w:r>
      <w:r w:rsidRPr="00EA2175">
        <w:t xml:space="preserve"> sample was divided into three sub-groups </w:t>
      </w:r>
      <w:r>
        <w:t xml:space="preserve">who had baseline levels of SWB within the ranges of </w:t>
      </w:r>
      <w:r w:rsidRPr="00EA2175">
        <w:t>0–50, 51–69, and 70</w:t>
      </w:r>
      <w:r>
        <w:t>+pp</w:t>
      </w:r>
      <w:r w:rsidRPr="00EA2175">
        <w:t>. The post</w:t>
      </w:r>
      <w:r>
        <w:t>-</w:t>
      </w:r>
      <w:r w:rsidRPr="00EA2175">
        <w:t>intervention</w:t>
      </w:r>
      <w:r>
        <w:t xml:space="preserve"> increase in SWB was, respectively, 23.75, </w:t>
      </w:r>
      <w:r w:rsidRPr="00EA2175">
        <w:t>12.08</w:t>
      </w:r>
      <w:r>
        <w:t xml:space="preserve">, and 1.48pp. </w:t>
      </w:r>
    </w:p>
    <w:p w:rsidR="00DC631F" w:rsidRDefault="00DC631F" w:rsidP="00DC631F"/>
    <w:p w:rsidR="00DC631F" w:rsidRPr="007003BB" w:rsidRDefault="00DC631F" w:rsidP="00DC631F">
      <w:r>
        <w:t>In conclusion, the proposition that there is some standard amount of SWB variance that can be represented as the ‘</w:t>
      </w:r>
      <w:r w:rsidRPr="00F820B8">
        <w:rPr>
          <w:i/>
        </w:rPr>
        <w:t>leeway to increase levels of happiness</w:t>
      </w:r>
      <w:r>
        <w:rPr>
          <w:i/>
        </w:rPr>
        <w:t xml:space="preserve">’ </w:t>
      </w:r>
      <w:r w:rsidRPr="00F820B8">
        <w:t>is without reasonable</w:t>
      </w:r>
      <w:r>
        <w:rPr>
          <w:i/>
        </w:rPr>
        <w:t xml:space="preserve"> </w:t>
      </w:r>
      <w:r>
        <w:t xml:space="preserve">empirical or theoretical support. The level of potential change in the level of SWB depends on its level at baseline, which is also intuitively </w:t>
      </w:r>
      <w:r w:rsidR="00220C22">
        <w:t>sensible</w:t>
      </w:r>
      <w:r>
        <w:t>.</w:t>
      </w:r>
    </w:p>
    <w:p w:rsidR="00DC631F" w:rsidRPr="005317E8" w:rsidRDefault="00DC631F" w:rsidP="00DC631F">
      <w:pPr>
        <w:rPr>
          <w:b/>
        </w:rPr>
      </w:pPr>
    </w:p>
    <w:p w:rsidR="005D754B" w:rsidRDefault="005D754B" w:rsidP="00DC631F">
      <w:pPr>
        <w:rPr>
          <w:rFonts w:eastAsia="Arial" w:cs="Times New Roman"/>
          <w:b/>
        </w:rPr>
      </w:pPr>
    </w:p>
    <w:p w:rsidR="00AD637D" w:rsidRPr="00CD5885" w:rsidRDefault="00AD637D" w:rsidP="00AD637D">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AD637D" w:rsidRPr="00BB5D46" w:rsidRDefault="00AD637D" w:rsidP="00AD637D">
      <w:pPr>
        <w:rPr>
          <w:rFonts w:eastAsia="Arial" w:cs="Times New Roman"/>
        </w:rPr>
      </w:pPr>
    </w:p>
    <w:p w:rsidR="00AD637D" w:rsidRPr="00BB5D46" w:rsidRDefault="00AD637D" w:rsidP="00AD637D">
      <w:pPr>
        <w:jc w:val="center"/>
        <w:rPr>
          <w:rFonts w:eastAsia="Arial" w:cs="Times New Roman"/>
          <w:i/>
        </w:rPr>
      </w:pPr>
    </w:p>
    <w:p w:rsidR="00AD637D" w:rsidRPr="00BB5D46" w:rsidRDefault="00AD637D" w:rsidP="00AD637D">
      <w:pPr>
        <w:jc w:val="center"/>
        <w:rPr>
          <w:rFonts w:eastAsia="Arial" w:cs="Times New Roman"/>
          <w:i/>
        </w:rPr>
      </w:pPr>
      <w:r w:rsidRPr="00BB5D46">
        <w:rPr>
          <w:rFonts w:eastAsia="Arial" w:cs="Times New Roman"/>
          <w:i/>
        </w:rPr>
        <w:t xml:space="preserve">Further discussion of </w:t>
      </w:r>
      <w:r w:rsidR="00874A44">
        <w:rPr>
          <w:rFonts w:eastAsia="Arial" w:cs="Times New Roman"/>
          <w:i/>
        </w:rPr>
        <w:t>this paper,</w:t>
      </w:r>
      <w:r w:rsidRPr="00BB5D46">
        <w:rPr>
          <w:rFonts w:eastAsia="Arial" w:cs="Times New Roman"/>
          <w:i/>
        </w:rPr>
        <w:t xml:space="preserve"> for circulation to members, is invited. Send to: </w:t>
      </w:r>
      <w:hyperlink r:id="rId184" w:history="1">
        <w:r w:rsidRPr="00BB5D46">
          <w:rPr>
            <w:rFonts w:eastAsia="Arial" w:cs="Times New Roman"/>
            <w:i/>
            <w:color w:val="0563C1"/>
            <w:u w:val="single"/>
          </w:rPr>
          <w:t>robert.cummins@deakin.edu.au</w:t>
        </w:r>
      </w:hyperlink>
    </w:p>
    <w:p w:rsidR="00AD637D" w:rsidRPr="00BB5D46" w:rsidRDefault="00AD637D" w:rsidP="00AD637D">
      <w:pPr>
        <w:jc w:val="center"/>
        <w:rPr>
          <w:rFonts w:eastAsia="Arial" w:cs="Times New Roman"/>
          <w:i/>
        </w:rPr>
      </w:pPr>
      <w:r w:rsidRPr="00BB5D46">
        <w:rPr>
          <w:rFonts w:eastAsia="Arial" w:cs="Times New Roman"/>
          <w:i/>
        </w:rPr>
        <w:t xml:space="preserve">Substantive comments received by midnight on </w:t>
      </w:r>
      <w:r w:rsidRPr="00874A44">
        <w:rPr>
          <w:rFonts w:eastAsia="Arial" w:cs="Times New Roman"/>
          <w:i/>
        </w:rPr>
        <w:t xml:space="preserve">Monday </w:t>
      </w:r>
      <w:r w:rsidR="00874A44" w:rsidRPr="00874A44">
        <w:rPr>
          <w:rFonts w:eastAsia="Arial" w:cs="Times New Roman"/>
          <w:i/>
        </w:rPr>
        <w:t>5</w:t>
      </w:r>
      <w:r w:rsidR="00874A44" w:rsidRPr="00874A44">
        <w:rPr>
          <w:rFonts w:eastAsia="Arial" w:cs="Times New Roman"/>
          <w:i/>
          <w:vertAlign w:val="superscript"/>
        </w:rPr>
        <w:t>th</w:t>
      </w:r>
      <w:r w:rsidRPr="00874A44">
        <w:rPr>
          <w:rFonts w:eastAsia="Arial" w:cs="Times New Roman"/>
          <w:i/>
        </w:rPr>
        <w:t xml:space="preserve"> </w:t>
      </w:r>
      <w:r w:rsidR="00874A44" w:rsidRPr="00874A44">
        <w:rPr>
          <w:rFonts w:eastAsia="Arial" w:cs="Times New Roman"/>
          <w:i/>
        </w:rPr>
        <w:t>August</w:t>
      </w:r>
      <w:r w:rsidRPr="00874A44">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AD637D" w:rsidRPr="00BB5D46" w:rsidRDefault="00AD637D" w:rsidP="00AD637D">
      <w:pPr>
        <w:jc w:val="center"/>
        <w:rPr>
          <w:rFonts w:eastAsia="Arial" w:cs="Times New Roman"/>
          <w:i/>
        </w:rPr>
      </w:pPr>
    </w:p>
    <w:p w:rsidR="00AD637D" w:rsidRPr="00BB5D46" w:rsidRDefault="00AD637D" w:rsidP="00AD637D">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AD637D" w:rsidRPr="00BB5D46" w:rsidRDefault="00AD637D" w:rsidP="00AD637D">
      <w:pPr>
        <w:rPr>
          <w:rFonts w:eastAsia="Arial" w:cs="Times New Roman"/>
          <w:i/>
        </w:rPr>
      </w:pPr>
    </w:p>
    <w:p w:rsidR="00AD637D" w:rsidRPr="00BB5D46" w:rsidRDefault="00AD637D" w:rsidP="00AD637D">
      <w:pPr>
        <w:jc w:val="center"/>
        <w:rPr>
          <w:rFonts w:eastAsia="Calibri" w:cs="Times New Roman"/>
          <w:i/>
          <w:szCs w:val="22"/>
        </w:rPr>
      </w:pPr>
    </w:p>
    <w:p w:rsidR="00AD637D" w:rsidRDefault="00AD637D" w:rsidP="00AD637D">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AD637D" w:rsidRDefault="00AD637D" w:rsidP="00AD637D">
      <w:pPr>
        <w:jc w:val="center"/>
        <w:rPr>
          <w:rFonts w:eastAsia="Arial" w:cs="Times New Roman"/>
          <w:i/>
          <w:sz w:val="22"/>
          <w:szCs w:val="22"/>
        </w:rPr>
      </w:pPr>
      <w:r w:rsidRPr="008C2032">
        <w:rPr>
          <w:rFonts w:eastAsia="Arial" w:cs="Times New Roman"/>
          <w:i/>
          <w:sz w:val="22"/>
          <w:szCs w:val="22"/>
        </w:rPr>
        <w:t>Tanja Capic &lt;tanja.capic@deakin.edu.au&gt;</w:t>
      </w:r>
    </w:p>
    <w:p w:rsidR="00AD637D" w:rsidRDefault="00AD637D" w:rsidP="00AD637D">
      <w:pPr>
        <w:jc w:val="center"/>
        <w:rPr>
          <w:rFonts w:eastAsia="Arial" w:cs="Times New Roman"/>
          <w:i/>
          <w:sz w:val="22"/>
          <w:szCs w:val="22"/>
        </w:rPr>
      </w:pPr>
      <w:proofErr w:type="spellStart"/>
      <w:r>
        <w:rPr>
          <w:rFonts w:eastAsia="Arial" w:cs="Times New Roman"/>
          <w:i/>
          <w:sz w:val="22"/>
          <w:szCs w:val="22"/>
        </w:rPr>
        <w:t>WebMaster</w:t>
      </w:r>
      <w:proofErr w:type="spellEnd"/>
    </w:p>
    <w:p w:rsidR="003B4945" w:rsidRPr="003B4945" w:rsidRDefault="003B4945" w:rsidP="003B4945">
      <w:pPr>
        <w:rPr>
          <w:rFonts w:eastAsia="Arial" w:cs="Times New Roman"/>
          <w:b/>
          <w:i/>
        </w:rPr>
      </w:pPr>
      <w:r w:rsidRPr="003B4945">
        <w:rPr>
          <w:rFonts w:eastAsia="Arial" w:cs="Times New Roman"/>
          <w:b/>
          <w:i/>
        </w:rPr>
        <w:t>New translation of the PWI into Maltese</w:t>
      </w:r>
    </w:p>
    <w:p w:rsidR="003B4945" w:rsidRPr="003B4945" w:rsidRDefault="00DF3874" w:rsidP="003B4945">
      <w:pPr>
        <w:rPr>
          <w:rFonts w:eastAsia="Times New Roman" w:cs="Times New Roman"/>
          <w:lang w:eastAsia="en-AU"/>
        </w:rPr>
      </w:pPr>
      <w:hyperlink r:id="rId185" w:anchor="measures" w:history="1">
        <w:r w:rsidR="003B4945" w:rsidRPr="003B4945">
          <w:rPr>
            <w:rStyle w:val="Hyperlink"/>
            <w:rFonts w:eastAsia="Times New Roman" w:cs="Times New Roman"/>
            <w:lang w:eastAsia="en-AU"/>
          </w:rPr>
          <w:t>http://www.acqol.com.au/instruments#measures</w:t>
        </w:r>
      </w:hyperlink>
    </w:p>
    <w:p w:rsidR="003B4945" w:rsidRPr="003B4945" w:rsidRDefault="003B4945" w:rsidP="003B4945">
      <w:pPr>
        <w:rPr>
          <w:rFonts w:eastAsia="Times New Roman" w:cs="Times New Roman"/>
          <w:lang w:eastAsia="en-AU"/>
        </w:rPr>
      </w:pPr>
    </w:p>
    <w:p w:rsidR="003B4945" w:rsidRPr="003B4945" w:rsidRDefault="003B4945" w:rsidP="003B4945">
      <w:pPr>
        <w:rPr>
          <w:rFonts w:eastAsia="Times New Roman" w:cs="Times New Roman"/>
          <w:lang w:eastAsia="en-AU"/>
        </w:rPr>
      </w:pPr>
      <w:r w:rsidRPr="003B4945">
        <w:rPr>
          <w:rFonts w:eastAsia="Times New Roman" w:cs="Times New Roman"/>
          <w:lang w:eastAsia="en-AU"/>
        </w:rPr>
        <w:t>This translation of the PWI into Maltese was created by:</w:t>
      </w:r>
    </w:p>
    <w:p w:rsidR="003B4945" w:rsidRPr="003B4945" w:rsidRDefault="003B4945" w:rsidP="003B4945">
      <w:pPr>
        <w:rPr>
          <w:rFonts w:eastAsia="Times New Roman" w:cs="Times New Roman"/>
          <w:lang w:eastAsia="en-AU"/>
        </w:rPr>
      </w:pPr>
      <w:r w:rsidRPr="003B4945">
        <w:rPr>
          <w:rFonts w:eastAsia="Times New Roman" w:cs="Times New Roman"/>
          <w:lang w:eastAsia="en-AU"/>
        </w:rPr>
        <w:t>Charlene Borg</w:t>
      </w:r>
    </w:p>
    <w:p w:rsidR="003B4945" w:rsidRPr="003B4945" w:rsidRDefault="003B4945" w:rsidP="003B4945">
      <w:pPr>
        <w:rPr>
          <w:rFonts w:eastAsia="Times New Roman" w:cs="Times New Roman"/>
          <w:lang w:eastAsia="en-AU"/>
        </w:rPr>
      </w:pPr>
      <w:r w:rsidRPr="003B4945">
        <w:rPr>
          <w:rFonts w:eastAsia="Times New Roman" w:cs="Times New Roman"/>
          <w:lang w:eastAsia="en-AU"/>
        </w:rPr>
        <w:t>Parent Relations Manager</w:t>
      </w:r>
    </w:p>
    <w:p w:rsidR="003B4945" w:rsidRPr="003B4945" w:rsidRDefault="003B4945" w:rsidP="003B4945">
      <w:pPr>
        <w:rPr>
          <w:rFonts w:eastAsia="Times New Roman" w:cs="Times New Roman"/>
          <w:lang w:eastAsia="en-AU"/>
        </w:rPr>
      </w:pPr>
      <w:r w:rsidRPr="003B4945">
        <w:rPr>
          <w:rFonts w:eastAsia="Times New Roman" w:cs="Times New Roman"/>
          <w:lang w:eastAsia="en-AU"/>
        </w:rPr>
        <w:t xml:space="preserve">Inspire Foundation, </w:t>
      </w:r>
      <w:proofErr w:type="spellStart"/>
      <w:r w:rsidRPr="003B4945">
        <w:rPr>
          <w:rFonts w:eastAsia="Times New Roman" w:cs="Times New Roman"/>
          <w:lang w:eastAsia="en-AU"/>
        </w:rPr>
        <w:t>Bulebel</w:t>
      </w:r>
      <w:proofErr w:type="spellEnd"/>
    </w:p>
    <w:p w:rsidR="003B4945" w:rsidRPr="003B4945" w:rsidRDefault="003B4945" w:rsidP="003B4945">
      <w:pPr>
        <w:rPr>
          <w:rFonts w:eastAsia="Times New Roman" w:cs="Times New Roman"/>
          <w:lang w:eastAsia="en-AU"/>
        </w:rPr>
      </w:pPr>
      <w:r w:rsidRPr="003B4945">
        <w:rPr>
          <w:rFonts w:eastAsia="Times New Roman" w:cs="Times New Roman"/>
          <w:lang w:eastAsia="en-AU"/>
        </w:rPr>
        <w:t>Industrial</w:t>
      </w:r>
    </w:p>
    <w:p w:rsidR="003B4945" w:rsidRPr="003B4945" w:rsidRDefault="003B4945" w:rsidP="003B4945">
      <w:pPr>
        <w:rPr>
          <w:rFonts w:eastAsia="Times New Roman" w:cs="Times New Roman"/>
          <w:lang w:eastAsia="en-AU"/>
        </w:rPr>
      </w:pPr>
      <w:r w:rsidRPr="003B4945">
        <w:rPr>
          <w:rFonts w:eastAsia="Times New Roman" w:cs="Times New Roman"/>
          <w:lang w:eastAsia="en-AU"/>
        </w:rPr>
        <w:t xml:space="preserve">Estate, </w:t>
      </w:r>
      <w:proofErr w:type="spellStart"/>
      <w:r w:rsidRPr="003B4945">
        <w:rPr>
          <w:rFonts w:eastAsia="Times New Roman" w:cs="Times New Roman"/>
          <w:lang w:eastAsia="en-AU"/>
        </w:rPr>
        <w:t>Zejtun</w:t>
      </w:r>
      <w:proofErr w:type="spellEnd"/>
      <w:r w:rsidRPr="003B4945">
        <w:rPr>
          <w:rFonts w:eastAsia="Times New Roman" w:cs="Times New Roman"/>
          <w:lang w:eastAsia="en-AU"/>
        </w:rPr>
        <w:t>, Malta</w:t>
      </w:r>
    </w:p>
    <w:p w:rsidR="003B4945" w:rsidRPr="003B4945" w:rsidRDefault="003B4945" w:rsidP="003B4945">
      <w:pPr>
        <w:rPr>
          <w:rFonts w:eastAsia="Times New Roman" w:cs="Times New Roman"/>
          <w:lang w:eastAsia="en-AU"/>
        </w:rPr>
      </w:pPr>
      <w:r w:rsidRPr="003B4945">
        <w:rPr>
          <w:rFonts w:eastAsia="Times New Roman" w:cs="Times New Roman"/>
          <w:lang w:eastAsia="en-AU"/>
        </w:rPr>
        <w:t>charlene.borg@inspire.org.mt</w:t>
      </w:r>
    </w:p>
    <w:p w:rsidR="003B4945" w:rsidRPr="003B4945" w:rsidRDefault="003B4945" w:rsidP="003B4945">
      <w:pPr>
        <w:rPr>
          <w:rFonts w:eastAsia="Times New Roman" w:cs="Times New Roman"/>
          <w:lang w:eastAsia="en-AU"/>
        </w:rPr>
      </w:pPr>
      <w:r w:rsidRPr="003B4945">
        <w:rPr>
          <w:rFonts w:eastAsia="Times New Roman" w:cs="Times New Roman"/>
          <w:lang w:eastAsia="en-AU"/>
        </w:rPr>
        <w:t>www.inspire.org.mt</w:t>
      </w:r>
    </w:p>
    <w:p w:rsidR="00AD637D" w:rsidRPr="00BB5D46" w:rsidRDefault="00AD637D" w:rsidP="00220C22">
      <w:pPr>
        <w:rPr>
          <w:rFonts w:eastAsia="Arial" w:cs="Times New Roman"/>
          <w:b/>
          <w:color w:val="000000"/>
          <w:sz w:val="32"/>
          <w:szCs w:val="32"/>
          <w:lang w:val="en-US"/>
        </w:rPr>
      </w:pPr>
    </w:p>
    <w:p w:rsidR="00AD637D" w:rsidRDefault="00AD637D" w:rsidP="00AD637D">
      <w:pPr>
        <w:jc w:val="center"/>
        <w:rPr>
          <w:rFonts w:eastAsia="Arial" w:cs="Times New Roman"/>
          <w:b/>
          <w:color w:val="000000"/>
          <w:sz w:val="32"/>
          <w:szCs w:val="32"/>
          <w:lang w:val="en-US"/>
        </w:rPr>
      </w:pPr>
      <w:r w:rsidRPr="00BB5D46">
        <w:rPr>
          <w:rFonts w:eastAsia="Arial" w:cs="Times New Roman"/>
          <w:b/>
          <w:color w:val="000000"/>
          <w:sz w:val="32"/>
          <w:szCs w:val="32"/>
          <w:lang w:val="en-US"/>
        </w:rPr>
        <w:lastRenderedPageBreak/>
        <w:t>Brief report</w:t>
      </w:r>
      <w:r w:rsidR="00C25002">
        <w:rPr>
          <w:rFonts w:eastAsia="Arial" w:cs="Times New Roman"/>
          <w:b/>
          <w:color w:val="000000"/>
          <w:sz w:val="32"/>
          <w:szCs w:val="32"/>
          <w:lang w:val="en-US"/>
        </w:rPr>
        <w:t>s</w:t>
      </w:r>
    </w:p>
    <w:p w:rsidR="00AD637D" w:rsidRPr="00CD5941" w:rsidRDefault="00CD5941" w:rsidP="00CD5941">
      <w:pPr>
        <w:jc w:val="center"/>
        <w:rPr>
          <w:rFonts w:eastAsia="Arial" w:cs="Times New Roman"/>
          <w:color w:val="000000"/>
          <w:sz w:val="28"/>
          <w:szCs w:val="28"/>
        </w:rPr>
      </w:pPr>
      <w:r>
        <w:rPr>
          <w:rFonts w:eastAsia="Calibri" w:cs="Times New Roman"/>
          <w:i/>
          <w:szCs w:val="22"/>
        </w:rPr>
        <w:t>The Conversation</w:t>
      </w:r>
    </w:p>
    <w:p w:rsidR="00465CF5" w:rsidRDefault="00465CF5" w:rsidP="00AD637D">
      <w:pPr>
        <w:rPr>
          <w:rFonts w:eastAsia="Arial" w:cs="Times New Roman"/>
          <w:color w:val="000000"/>
          <w:sz w:val="20"/>
          <w:szCs w:val="20"/>
        </w:rPr>
      </w:pPr>
      <w:proofErr w:type="spellStart"/>
      <w:r w:rsidRPr="00465CF5">
        <w:rPr>
          <w:rFonts w:eastAsia="Arial" w:cs="Times New Roman"/>
          <w:color w:val="000000"/>
          <w:sz w:val="20"/>
          <w:szCs w:val="20"/>
        </w:rPr>
        <w:t>Gunasekara</w:t>
      </w:r>
      <w:proofErr w:type="spellEnd"/>
      <w:r w:rsidRPr="00465CF5">
        <w:rPr>
          <w:rFonts w:eastAsia="Arial" w:cs="Times New Roman"/>
          <w:color w:val="000000"/>
          <w:sz w:val="20"/>
          <w:szCs w:val="20"/>
        </w:rPr>
        <w:t xml:space="preserve">, A. (2019). Migrants who adapt to Australian culture say they’re happier than those who don’t. </w:t>
      </w:r>
      <w:r w:rsidRPr="00465CF5">
        <w:rPr>
          <w:rFonts w:eastAsia="Arial" w:cs="Times New Roman"/>
          <w:i/>
          <w:iCs/>
          <w:color w:val="000000"/>
          <w:sz w:val="20"/>
          <w:szCs w:val="20"/>
        </w:rPr>
        <w:t xml:space="preserve">The Conversation, </w:t>
      </w:r>
      <w:hyperlink r:id="rId186" w:history="1">
        <w:r w:rsidRPr="00465CF5">
          <w:rPr>
            <w:rStyle w:val="Hyperlink"/>
            <w:rFonts w:eastAsia="Arial" w:cs="Times New Roman"/>
            <w:i/>
            <w:iCs/>
            <w:sz w:val="20"/>
            <w:szCs w:val="20"/>
          </w:rPr>
          <w:t>https://theconversation.com/migrants-who-adapt-to-australian-culture-say-theyre-happier-than-those-who-dont-117264</w:t>
        </w:r>
      </w:hyperlink>
      <w:r w:rsidRPr="00465CF5">
        <w:rPr>
          <w:rFonts w:eastAsia="Arial" w:cs="Times New Roman"/>
          <w:color w:val="000000"/>
          <w:sz w:val="20"/>
          <w:szCs w:val="20"/>
        </w:rPr>
        <w:t>.</w:t>
      </w:r>
    </w:p>
    <w:p w:rsidR="00465CF5" w:rsidRDefault="00465CF5" w:rsidP="00AD637D">
      <w:pPr>
        <w:rPr>
          <w:rFonts w:eastAsia="Arial" w:cs="Times New Roman"/>
          <w:color w:val="000000"/>
          <w:sz w:val="20"/>
          <w:szCs w:val="20"/>
        </w:rPr>
      </w:pPr>
    </w:p>
    <w:p w:rsidR="00465CF5" w:rsidRDefault="00465CF5" w:rsidP="00AD637D">
      <w:pPr>
        <w:rPr>
          <w:rFonts w:eastAsia="Arial" w:cs="Times New Roman"/>
          <w:color w:val="000000"/>
          <w:sz w:val="20"/>
          <w:szCs w:val="20"/>
        </w:rPr>
      </w:pPr>
    </w:p>
    <w:p w:rsidR="00AD637D" w:rsidRPr="00DC631F" w:rsidRDefault="00CD5941" w:rsidP="00126AB4">
      <w:pPr>
        <w:rPr>
          <w:rFonts w:eastAsia="Arial" w:cs="Times New Roman"/>
          <w:color w:val="000000"/>
          <w:sz w:val="22"/>
          <w:szCs w:val="22"/>
        </w:rPr>
      </w:pPr>
      <w:r w:rsidRPr="00DC631F">
        <w:rPr>
          <w:rFonts w:eastAsia="Arial" w:cs="Times New Roman"/>
          <w:color w:val="000000"/>
          <w:sz w:val="22"/>
          <w:szCs w:val="22"/>
        </w:rPr>
        <w:t>This report concerns a survey of over 300 non-Western, skilled migrants in Australia. Their subjective wellbeing (SWB) was measured by the Personal Wellbeing Index</w:t>
      </w:r>
      <w:r w:rsidRPr="00DC631F">
        <w:rPr>
          <w:rFonts w:eastAsia="Arial" w:cs="Times New Roman"/>
          <w:sz w:val="22"/>
          <w:szCs w:val="22"/>
        </w:rPr>
        <w:t xml:space="preserve"> (</w:t>
      </w:r>
      <w:r w:rsidRPr="00DC631F">
        <w:rPr>
          <w:rFonts w:eastAsia="Arial" w:cs="Times New Roman"/>
          <w:color w:val="000000"/>
          <w:sz w:val="22"/>
          <w:szCs w:val="22"/>
        </w:rPr>
        <w:t>International Wellbeing Group, 2013). The Australian general population normative range on this scale is from 74.2 to 76.8 percentage points (pp). The mean of the migrants is higher, on 77.27</w:t>
      </w:r>
      <w:r w:rsidR="00126AB4" w:rsidRPr="00DC631F">
        <w:rPr>
          <w:rFonts w:eastAsia="Arial" w:cs="Times New Roman"/>
          <w:color w:val="000000"/>
          <w:sz w:val="22"/>
          <w:szCs w:val="22"/>
        </w:rPr>
        <w:t>pp and was associated with</w:t>
      </w:r>
      <w:r w:rsidR="003D60D9" w:rsidRPr="00DC631F">
        <w:rPr>
          <w:rFonts w:eastAsia="Arial" w:cs="Times New Roman"/>
          <w:color w:val="000000"/>
          <w:sz w:val="22"/>
          <w:szCs w:val="22"/>
        </w:rPr>
        <w:t xml:space="preserve"> them</w:t>
      </w:r>
      <w:r w:rsidR="00126AB4" w:rsidRPr="00DC631F">
        <w:rPr>
          <w:rFonts w:eastAsia="Arial" w:cs="Times New Roman"/>
          <w:color w:val="000000"/>
          <w:sz w:val="22"/>
          <w:szCs w:val="22"/>
        </w:rPr>
        <w:t xml:space="preserve"> </w:t>
      </w:r>
      <w:r w:rsidR="003D60D9" w:rsidRPr="00DC631F">
        <w:rPr>
          <w:rFonts w:eastAsia="Arial" w:cs="Times New Roman"/>
          <w:color w:val="000000"/>
          <w:sz w:val="22"/>
          <w:szCs w:val="22"/>
        </w:rPr>
        <w:t>feeling</w:t>
      </w:r>
      <w:r w:rsidR="00126AB4" w:rsidRPr="00DC631F">
        <w:rPr>
          <w:rFonts w:eastAsia="Arial" w:cs="Times New Roman"/>
          <w:color w:val="000000"/>
          <w:sz w:val="22"/>
          <w:szCs w:val="22"/>
        </w:rPr>
        <w:t xml:space="preserve"> </w:t>
      </w:r>
      <w:r w:rsidR="003D60D9" w:rsidRPr="00DC631F">
        <w:rPr>
          <w:rFonts w:eastAsia="Arial" w:cs="Times New Roman"/>
          <w:color w:val="000000"/>
          <w:sz w:val="22"/>
          <w:szCs w:val="22"/>
        </w:rPr>
        <w:t xml:space="preserve">more </w:t>
      </w:r>
      <w:r w:rsidR="00126AB4" w:rsidRPr="00DC631F">
        <w:rPr>
          <w:rFonts w:eastAsia="Arial" w:cs="Times New Roman"/>
          <w:color w:val="000000"/>
          <w:sz w:val="22"/>
          <w:szCs w:val="22"/>
        </w:rPr>
        <w:t>acculturated to Australian than to their heritage culture, higher English language competency, and an Australian identity. It was not associated with more time spent in Australia. Their least satisfaction of the 7 PWI domains came from community connection</w:t>
      </w:r>
      <w:r w:rsidR="003D60D9" w:rsidRPr="00DC631F">
        <w:rPr>
          <w:rFonts w:eastAsia="Arial" w:cs="Times New Roman"/>
          <w:color w:val="000000"/>
          <w:sz w:val="22"/>
          <w:szCs w:val="22"/>
        </w:rPr>
        <w:t>, as it does also for the general population</w:t>
      </w:r>
      <w:r w:rsidR="00126AB4" w:rsidRPr="00DC631F">
        <w:rPr>
          <w:rFonts w:eastAsia="Arial" w:cs="Times New Roman"/>
          <w:color w:val="000000"/>
          <w:sz w:val="22"/>
          <w:szCs w:val="22"/>
        </w:rPr>
        <w:t xml:space="preserve">. </w:t>
      </w:r>
      <w:r w:rsidR="003D60D9" w:rsidRPr="00DC631F">
        <w:rPr>
          <w:rFonts w:eastAsia="Arial" w:cs="Times New Roman"/>
          <w:color w:val="000000"/>
          <w:sz w:val="22"/>
          <w:szCs w:val="22"/>
        </w:rPr>
        <w:t>Overall, feelings of belonging and the maintenance of relationships is found to be a crucial factor in subjective wellbeing.</w:t>
      </w:r>
    </w:p>
    <w:p w:rsidR="00C25002" w:rsidRDefault="00C25002" w:rsidP="00126AB4">
      <w:pPr>
        <w:rPr>
          <w:rFonts w:eastAsia="Arial" w:cs="Times New Roman"/>
          <w:color w:val="000000"/>
        </w:rPr>
      </w:pPr>
    </w:p>
    <w:p w:rsidR="00C551DD" w:rsidRPr="00C551DD" w:rsidRDefault="00C25002" w:rsidP="00C25002">
      <w:pPr>
        <w:jc w:val="center"/>
        <w:rPr>
          <w:rFonts w:eastAsia="Calibri" w:cs="Times New Roman"/>
          <w:i/>
          <w:sz w:val="28"/>
          <w:szCs w:val="28"/>
        </w:rPr>
      </w:pPr>
      <w:r w:rsidRPr="00C551DD">
        <w:rPr>
          <w:rFonts w:eastAsia="Calibri" w:cs="Times New Roman"/>
          <w:i/>
          <w:sz w:val="28"/>
          <w:szCs w:val="28"/>
        </w:rPr>
        <w:t>This report was identified by Graeme Lindenmayer</w:t>
      </w:r>
    </w:p>
    <w:p w:rsidR="00C25002" w:rsidRPr="00C25002" w:rsidRDefault="00C25002" w:rsidP="00C25002">
      <w:pPr>
        <w:jc w:val="center"/>
        <w:rPr>
          <w:rFonts w:eastAsia="Calibri" w:cs="Times New Roman"/>
          <w:b/>
          <w:sz w:val="28"/>
          <w:szCs w:val="28"/>
        </w:rPr>
      </w:pPr>
      <w:r w:rsidRPr="00C25002">
        <w:rPr>
          <w:rFonts w:eastAsia="Calibri" w:cs="Times New Roman"/>
          <w:b/>
          <w:sz w:val="28"/>
          <w:szCs w:val="28"/>
        </w:rPr>
        <w:t xml:space="preserve"> </w:t>
      </w:r>
      <w:r w:rsidRPr="00C551DD">
        <w:rPr>
          <w:rFonts w:eastAsia="Calibri" w:cs="Times New Roman"/>
        </w:rPr>
        <w:t>&lt;gretandlin@netscape.net&gt;</w:t>
      </w:r>
    </w:p>
    <w:p w:rsidR="00C25002" w:rsidRPr="00C25002" w:rsidRDefault="00C25002" w:rsidP="00C25002">
      <w:pPr>
        <w:rPr>
          <w:rFonts w:eastAsia="Arial" w:cs="Times New Roman"/>
          <w:b/>
          <w:bCs/>
          <w:color w:val="000000"/>
        </w:rPr>
      </w:pPr>
      <w:r w:rsidRPr="00C25002">
        <w:rPr>
          <w:rFonts w:eastAsia="Arial" w:cs="Times New Roman"/>
          <w:b/>
          <w:bCs/>
          <w:color w:val="000000"/>
        </w:rPr>
        <w:t>Boris Johnson and the Triumph of Gullibility?</w:t>
      </w:r>
    </w:p>
    <w:p w:rsidR="00C25002" w:rsidRPr="00C25002" w:rsidRDefault="00DF3874" w:rsidP="00C25002">
      <w:pPr>
        <w:rPr>
          <w:rFonts w:eastAsia="Arial" w:cs="Times New Roman"/>
          <w:color w:val="000000"/>
        </w:rPr>
      </w:pPr>
      <w:hyperlink r:id="rId187" w:history="1">
        <w:r w:rsidR="00C25002" w:rsidRPr="00C25002">
          <w:rPr>
            <w:rStyle w:val="Hyperlink"/>
            <w:rFonts w:eastAsia="Arial" w:cs="Times New Roman"/>
          </w:rPr>
          <w:t xml:space="preserve">Raj </w:t>
        </w:r>
        <w:proofErr w:type="spellStart"/>
        <w:r w:rsidR="00C25002" w:rsidRPr="00C25002">
          <w:rPr>
            <w:rStyle w:val="Hyperlink"/>
            <w:rFonts w:eastAsia="Arial" w:cs="Times New Roman"/>
          </w:rPr>
          <w:t>Persaud</w:t>
        </w:r>
        <w:proofErr w:type="spellEnd"/>
      </w:hyperlink>
      <w:r w:rsidR="00C25002" w:rsidRPr="00C25002">
        <w:rPr>
          <w:rFonts w:eastAsia="Arial" w:cs="Times New Roman"/>
          <w:color w:val="000000"/>
        </w:rPr>
        <w:t xml:space="preserve"> </w:t>
      </w:r>
    </w:p>
    <w:p w:rsidR="00C25002" w:rsidRPr="00C551DD" w:rsidRDefault="00C25002" w:rsidP="00126AB4">
      <w:pPr>
        <w:rPr>
          <w:rFonts w:eastAsia="Arial" w:cs="Times New Roman"/>
          <w:color w:val="000000"/>
          <w:sz w:val="22"/>
          <w:szCs w:val="22"/>
        </w:rPr>
      </w:pPr>
      <w:r w:rsidRPr="00C551DD">
        <w:rPr>
          <w:rFonts w:eastAsia="Arial" w:cs="Times New Roman"/>
          <w:color w:val="000000"/>
          <w:sz w:val="22"/>
          <w:szCs w:val="22"/>
        </w:rPr>
        <w:t>https://www.project-syndicate.org/commentary/boris-johnson-populism-psychology-gul</w:t>
      </w:r>
      <w:r w:rsidR="00C551DD">
        <w:rPr>
          <w:rFonts w:eastAsia="Arial" w:cs="Times New Roman"/>
          <w:color w:val="000000"/>
          <w:sz w:val="22"/>
          <w:szCs w:val="22"/>
        </w:rPr>
        <w:t>libility-by-raj-persaud-2019-07</w:t>
      </w:r>
    </w:p>
    <w:p w:rsidR="00C25002" w:rsidRPr="00DC631F" w:rsidRDefault="00C25002" w:rsidP="00C25002">
      <w:pPr>
        <w:spacing w:before="100" w:beforeAutospacing="1" w:after="100" w:afterAutospacing="1"/>
        <w:rPr>
          <w:rFonts w:eastAsia="Times New Roman" w:cs="Times New Roman"/>
          <w:sz w:val="22"/>
          <w:szCs w:val="22"/>
          <w:lang w:eastAsia="en-AU"/>
        </w:rPr>
      </w:pPr>
      <w:r w:rsidRPr="00DC631F">
        <w:rPr>
          <w:rFonts w:eastAsia="Times New Roman" w:cs="Times New Roman"/>
          <w:sz w:val="22"/>
          <w:szCs w:val="22"/>
          <w:lang w:eastAsia="en-AU"/>
        </w:rPr>
        <w:t>The success of populist politicians such as US President Donald Trump and new British Prime Minister Boris Johnson suggests that voters are becoming increasingly gullible. Although it is tempting to blame “fake news” and social media for this trend, recent psychological research points to a different and perhaps more startling explanation.</w:t>
      </w:r>
    </w:p>
    <w:p w:rsidR="00C25002" w:rsidRPr="00DC631F" w:rsidRDefault="00C25002" w:rsidP="00C25002">
      <w:pPr>
        <w:spacing w:before="100" w:beforeAutospacing="1" w:after="100" w:afterAutospacing="1"/>
        <w:rPr>
          <w:rFonts w:eastAsia="Times New Roman" w:cs="Times New Roman"/>
          <w:b/>
          <w:bCs/>
          <w:sz w:val="22"/>
          <w:szCs w:val="22"/>
          <w:lang w:eastAsia="en-AU"/>
        </w:rPr>
      </w:pPr>
      <w:r w:rsidRPr="00DC631F">
        <w:rPr>
          <w:rFonts w:eastAsia="Times New Roman" w:cs="Times New Roman"/>
          <w:sz w:val="22"/>
          <w:szCs w:val="22"/>
          <w:lang w:eastAsia="en-AU"/>
        </w:rPr>
        <w:t xml:space="preserve"> Conventional wisdom holds that people vote for disruptive populists such as Johnson largely out of anger and resentment. But a </w:t>
      </w:r>
      <w:hyperlink r:id="rId188" w:tgtFrame="_blank" w:history="1">
        <w:r w:rsidRPr="00DC631F">
          <w:rPr>
            <w:rFonts w:eastAsia="Times New Roman" w:cs="Times New Roman"/>
            <w:sz w:val="22"/>
            <w:szCs w:val="22"/>
            <w:lang w:eastAsia="en-AU"/>
          </w:rPr>
          <w:t>recent article</w:t>
        </w:r>
      </w:hyperlink>
      <w:r w:rsidRPr="00DC631F">
        <w:rPr>
          <w:rFonts w:eastAsia="Times New Roman" w:cs="Times New Roman"/>
          <w:sz w:val="22"/>
          <w:szCs w:val="22"/>
          <w:lang w:eastAsia="en-AU"/>
        </w:rPr>
        <w:t xml:space="preserve"> in</w:t>
      </w:r>
      <w:r w:rsidRPr="00DC631F">
        <w:rPr>
          <w:rFonts w:eastAsia="Times New Roman" w:cs="Times New Roman"/>
          <w:i/>
          <w:iCs/>
          <w:sz w:val="22"/>
          <w:szCs w:val="22"/>
          <w:lang w:eastAsia="en-AU"/>
        </w:rPr>
        <w:t xml:space="preserve"> The Economist</w:t>
      </w:r>
      <w:r w:rsidRPr="00DC631F">
        <w:rPr>
          <w:rFonts w:eastAsia="Times New Roman" w:cs="Times New Roman"/>
          <w:sz w:val="22"/>
          <w:szCs w:val="22"/>
          <w:lang w:eastAsia="en-AU"/>
        </w:rPr>
        <w:t xml:space="preserve"> </w:t>
      </w:r>
      <w:r w:rsidR="00C534DD" w:rsidRPr="00DC631F">
        <w:rPr>
          <w:rFonts w:eastAsia="Times New Roman" w:cs="Times New Roman"/>
          <w:sz w:val="22"/>
          <w:szCs w:val="22"/>
          <w:lang w:eastAsia="en-AU"/>
        </w:rPr>
        <w:t>[</w:t>
      </w:r>
      <w:r w:rsidR="00C534DD" w:rsidRPr="00DC631F">
        <w:rPr>
          <w:rFonts w:eastAsia="Times New Roman" w:cs="Times New Roman"/>
          <w:bCs/>
          <w:sz w:val="22"/>
          <w:szCs w:val="22"/>
          <w:lang w:eastAsia="en-AU"/>
        </w:rPr>
        <w:t>Why are happy people voting for angry parties?]</w:t>
      </w:r>
      <w:r w:rsidR="00C534DD" w:rsidRPr="00DC631F">
        <w:rPr>
          <w:rFonts w:eastAsia="Times New Roman" w:cs="Times New Roman"/>
          <w:b/>
          <w:bCs/>
          <w:sz w:val="22"/>
          <w:szCs w:val="22"/>
          <w:lang w:eastAsia="en-AU"/>
        </w:rPr>
        <w:t xml:space="preserve"> </w:t>
      </w:r>
      <w:r w:rsidRPr="00DC631F">
        <w:rPr>
          <w:rFonts w:eastAsia="Times New Roman" w:cs="Times New Roman"/>
          <w:sz w:val="22"/>
          <w:szCs w:val="22"/>
          <w:lang w:eastAsia="en-AU"/>
        </w:rPr>
        <w:t xml:space="preserve">points out that populism and support for parties hostile to the </w:t>
      </w:r>
      <w:r w:rsidRPr="00DC631F">
        <w:rPr>
          <w:rFonts w:eastAsia="Times New Roman" w:cs="Times New Roman"/>
          <w:i/>
          <w:iCs/>
          <w:sz w:val="22"/>
          <w:szCs w:val="22"/>
          <w:lang w:eastAsia="en-AU"/>
        </w:rPr>
        <w:t>status quo</w:t>
      </w:r>
      <w:r w:rsidRPr="00DC631F">
        <w:rPr>
          <w:rFonts w:eastAsia="Times New Roman" w:cs="Times New Roman"/>
          <w:sz w:val="22"/>
          <w:szCs w:val="22"/>
          <w:lang w:eastAsia="en-AU"/>
        </w:rPr>
        <w:t xml:space="preserve"> are rising at a time when opinion polls suggest that electorates have generally never been happier. </w:t>
      </w:r>
    </w:p>
    <w:p w:rsidR="00465CF5" w:rsidRPr="00DC631F" w:rsidRDefault="00C25002" w:rsidP="00C551DD">
      <w:pPr>
        <w:spacing w:before="100" w:beforeAutospacing="1" w:after="100" w:afterAutospacing="1"/>
        <w:rPr>
          <w:rFonts w:eastAsia="Times New Roman" w:cs="Times New Roman"/>
          <w:sz w:val="22"/>
          <w:szCs w:val="22"/>
          <w:lang w:eastAsia="en-AU"/>
        </w:rPr>
      </w:pPr>
      <w:r w:rsidRPr="00DC631F">
        <w:rPr>
          <w:rFonts w:eastAsia="Times New Roman" w:cs="Times New Roman"/>
          <w:sz w:val="22"/>
          <w:szCs w:val="22"/>
          <w:lang w:eastAsia="en-AU"/>
        </w:rPr>
        <w:t xml:space="preserve">Professor Joseph </w:t>
      </w:r>
      <w:proofErr w:type="spellStart"/>
      <w:r w:rsidRPr="00DC631F">
        <w:rPr>
          <w:rFonts w:eastAsia="Times New Roman" w:cs="Times New Roman"/>
          <w:sz w:val="22"/>
          <w:szCs w:val="22"/>
          <w:lang w:eastAsia="en-AU"/>
        </w:rPr>
        <w:t>Forgas</w:t>
      </w:r>
      <w:proofErr w:type="spellEnd"/>
      <w:r w:rsidRPr="00DC631F">
        <w:rPr>
          <w:rFonts w:eastAsia="Times New Roman" w:cs="Times New Roman"/>
          <w:sz w:val="22"/>
          <w:szCs w:val="22"/>
          <w:lang w:eastAsia="en-AU"/>
        </w:rPr>
        <w:t xml:space="preserve">, at the University of New South Wales, points to a deeper and more persuasive explanation: happy people are more gullible. In a series of experiments, </w:t>
      </w:r>
      <w:proofErr w:type="spellStart"/>
      <w:r w:rsidRPr="00DC631F">
        <w:rPr>
          <w:rFonts w:eastAsia="Times New Roman" w:cs="Times New Roman"/>
          <w:sz w:val="22"/>
          <w:szCs w:val="22"/>
          <w:lang w:eastAsia="en-AU"/>
        </w:rPr>
        <w:t>Forgas</w:t>
      </w:r>
      <w:proofErr w:type="spellEnd"/>
      <w:r w:rsidRPr="00DC631F">
        <w:rPr>
          <w:rFonts w:eastAsia="Times New Roman" w:cs="Times New Roman"/>
          <w:sz w:val="22"/>
          <w:szCs w:val="22"/>
          <w:lang w:eastAsia="en-AU"/>
        </w:rPr>
        <w:t xml:space="preserve"> found that negative emotional states made people less gullible, while a positive mood made them more so. Moreover, </w:t>
      </w:r>
      <w:proofErr w:type="spellStart"/>
      <w:r w:rsidRPr="00DC631F">
        <w:rPr>
          <w:rFonts w:eastAsia="Times New Roman" w:cs="Times New Roman"/>
          <w:sz w:val="22"/>
          <w:szCs w:val="22"/>
          <w:lang w:eastAsia="en-AU"/>
        </w:rPr>
        <w:t>Forgas</w:t>
      </w:r>
      <w:proofErr w:type="spellEnd"/>
      <w:r w:rsidRPr="00DC631F">
        <w:rPr>
          <w:rFonts w:eastAsia="Times New Roman" w:cs="Times New Roman"/>
          <w:sz w:val="22"/>
          <w:szCs w:val="22"/>
          <w:lang w:eastAsia="en-AU"/>
        </w:rPr>
        <w:t xml:space="preserve"> argues that voters’ openness to simple, populist messages has proved surprisingly important in influencing recent political events, such as Brexit, the ascendancy of Trump, and the election of populist autocrats in countr</w:t>
      </w:r>
      <w:r w:rsidR="00C551DD" w:rsidRPr="00DC631F">
        <w:rPr>
          <w:rFonts w:eastAsia="Times New Roman" w:cs="Times New Roman"/>
          <w:sz w:val="22"/>
          <w:szCs w:val="22"/>
          <w:lang w:eastAsia="en-AU"/>
        </w:rPr>
        <w:t>ies such as Hungary and Turkey.</w:t>
      </w:r>
    </w:p>
    <w:p w:rsidR="00AD637D" w:rsidRDefault="00AD637D" w:rsidP="00AD637D">
      <w:pPr>
        <w:jc w:val="center"/>
        <w:rPr>
          <w:rFonts w:ascii="Helvetica" w:hAnsi="Helvetica" w:cs="Helvetica"/>
          <w:sz w:val="18"/>
          <w:szCs w:val="18"/>
        </w:rPr>
      </w:pPr>
    </w:p>
    <w:p w:rsidR="00AD637D" w:rsidRPr="009E3827" w:rsidRDefault="00AD637D" w:rsidP="009E3827">
      <w:pPr>
        <w:jc w:val="center"/>
        <w:rPr>
          <w:rFonts w:eastAsia="Arial" w:cs="Times New Roman"/>
          <w:b/>
          <w:sz w:val="32"/>
          <w:szCs w:val="32"/>
        </w:rPr>
      </w:pPr>
      <w:r w:rsidRPr="00BB5D46">
        <w:rPr>
          <w:rFonts w:eastAsia="Arial" w:cs="Times New Roman"/>
          <w:b/>
          <w:sz w:val="32"/>
          <w:szCs w:val="32"/>
        </w:rPr>
        <w:t>Media news</w:t>
      </w:r>
    </w:p>
    <w:p w:rsidR="00AD637D" w:rsidRDefault="00AD637D" w:rsidP="00AD637D">
      <w:pPr>
        <w:rPr>
          <w:rFonts w:eastAsia="Arial" w:cs="Times New Roman"/>
          <w:sz w:val="28"/>
          <w:szCs w:val="28"/>
        </w:rPr>
      </w:pPr>
    </w:p>
    <w:p w:rsidR="00377545" w:rsidRPr="00377545" w:rsidRDefault="00377545" w:rsidP="00377545">
      <w:pPr>
        <w:rPr>
          <w:rFonts w:eastAsia="Arial" w:cs="Times New Roman"/>
          <w:b/>
          <w:bCs/>
          <w:sz w:val="28"/>
          <w:szCs w:val="28"/>
        </w:rPr>
      </w:pPr>
      <w:r w:rsidRPr="00377545">
        <w:rPr>
          <w:rFonts w:eastAsia="Arial" w:cs="Times New Roman"/>
          <w:b/>
          <w:bCs/>
          <w:sz w:val="28"/>
          <w:szCs w:val="28"/>
        </w:rPr>
        <w:t>Having a sense of meaning in life is good for you – so how do you get one?</w:t>
      </w:r>
    </w:p>
    <w:p w:rsidR="009E3827" w:rsidRDefault="00DF3874" w:rsidP="00AD637D">
      <w:pPr>
        <w:jc w:val="center"/>
      </w:pPr>
      <w:hyperlink r:id="rId189" w:history="1">
        <w:r w:rsidR="009E3827">
          <w:rPr>
            <w:rStyle w:val="fn"/>
            <w:color w:val="0000FF"/>
            <w:u w:val="single"/>
          </w:rPr>
          <w:t xml:space="preserve">Lisa A Williams </w:t>
        </w:r>
      </w:hyperlink>
    </w:p>
    <w:p w:rsidR="00377545" w:rsidRDefault="00DF3874" w:rsidP="00AD637D">
      <w:pPr>
        <w:jc w:val="center"/>
        <w:rPr>
          <w:rFonts w:eastAsia="Arial" w:cs="Times New Roman"/>
        </w:rPr>
      </w:pPr>
      <w:hyperlink r:id="rId190" w:history="1">
        <w:r w:rsidR="00377545" w:rsidRPr="00727CFD">
          <w:rPr>
            <w:rStyle w:val="Hyperlink"/>
            <w:rFonts w:eastAsia="Arial" w:cs="Times New Roman"/>
          </w:rPr>
          <w:t>https://theconversation.com/having-a-sense-of-meaning-in-life-is-good-for-you-so-how-do-you-get-one-110361?utm_medium=email&amp;utm_campaign=Latest%20from%20The%20Conversation%20for%20February%2014%202019%20-%201235611381&amp;utm_content=Latest%20from%20The%20Conversation%20for%20February%2014%202019%20-</w:t>
        </w:r>
        <w:r w:rsidR="00377545" w:rsidRPr="00727CFD">
          <w:rPr>
            <w:rStyle w:val="Hyperlink"/>
            <w:rFonts w:eastAsia="Arial" w:cs="Times New Roman"/>
          </w:rPr>
          <w:lastRenderedPageBreak/>
          <w:t>%201235611381+CID_acd309e4485ff42cc4ed4e7e4a439b51&amp;utm_source=campaign_monitor&amp;utm_term=Having%20a%20sense%20of%20meaning%20in%20life%20is%20good%20for%20you%20%20so%20how%20do%20you%20get%20one</w:t>
        </w:r>
      </w:hyperlink>
    </w:p>
    <w:p w:rsidR="00377545" w:rsidRDefault="00377545" w:rsidP="00AD637D">
      <w:pPr>
        <w:jc w:val="center"/>
        <w:rPr>
          <w:rFonts w:eastAsia="Arial" w:cs="Times New Roman"/>
        </w:rPr>
      </w:pPr>
    </w:p>
    <w:p w:rsidR="009E3827" w:rsidRPr="009E3827" w:rsidRDefault="009E3827" w:rsidP="009E3827">
      <w:pPr>
        <w:jc w:val="center"/>
        <w:rPr>
          <w:rFonts w:eastAsia="Arial"/>
        </w:rPr>
      </w:pPr>
      <w:r w:rsidRPr="009E3827">
        <w:rPr>
          <w:rFonts w:eastAsia="Arial" w:cs="Times New Roman"/>
        </w:rPr>
        <w:t xml:space="preserve">The search for the heart of well-being – that is, a nucleus from which other aspects of well-being and health might flow – has been the focus of decades of research. New findings recently reported in </w:t>
      </w:r>
      <w:hyperlink r:id="rId191" w:history="1">
        <w:r w:rsidRPr="009E3827">
          <w:rPr>
            <w:rStyle w:val="Hyperlink"/>
            <w:rFonts w:eastAsia="Arial" w:cs="Times New Roman"/>
          </w:rPr>
          <w:t>Proceedings of the National Academy of Sciences</w:t>
        </w:r>
      </w:hyperlink>
      <w:r w:rsidRPr="009E3827">
        <w:rPr>
          <w:rFonts w:eastAsia="Arial" w:cs="Times New Roman"/>
        </w:rPr>
        <w:t xml:space="preserve"> point towards an answer commonly overlooked: meaning in life.</w:t>
      </w:r>
      <w:r>
        <w:rPr>
          <w:rFonts w:eastAsia="Arial" w:cs="Times New Roman"/>
        </w:rPr>
        <w:t xml:space="preserve"> </w:t>
      </w:r>
      <w:r w:rsidRPr="009E3827">
        <w:rPr>
          <w:rFonts w:eastAsia="Arial" w:cs="Times New Roman"/>
        </w:rPr>
        <w:t xml:space="preserve">University College London’s psychology professor </w:t>
      </w:r>
      <w:hyperlink r:id="rId192" w:history="1">
        <w:r w:rsidRPr="009E3827">
          <w:rPr>
            <w:rStyle w:val="Hyperlink"/>
            <w:rFonts w:eastAsia="Arial" w:cs="Times New Roman"/>
          </w:rPr>
          <w:t>Andrew Steptoe</w:t>
        </w:r>
      </w:hyperlink>
      <w:r w:rsidRPr="009E3827">
        <w:rPr>
          <w:rFonts w:eastAsia="Arial" w:cs="Times New Roman"/>
        </w:rPr>
        <w:t xml:space="preserve"> and senior research associate </w:t>
      </w:r>
      <w:hyperlink r:id="rId193" w:history="1">
        <w:r w:rsidRPr="009E3827">
          <w:rPr>
            <w:rStyle w:val="Hyperlink"/>
            <w:rFonts w:eastAsia="Arial" w:cs="Times New Roman"/>
          </w:rPr>
          <w:t xml:space="preserve">Daisy </w:t>
        </w:r>
        <w:proofErr w:type="spellStart"/>
        <w:r w:rsidRPr="009E3827">
          <w:rPr>
            <w:rStyle w:val="Hyperlink"/>
            <w:rFonts w:eastAsia="Arial" w:cs="Times New Roman"/>
          </w:rPr>
          <w:t>Fancourt</w:t>
        </w:r>
        <w:proofErr w:type="spellEnd"/>
      </w:hyperlink>
      <w:r w:rsidRPr="009E3827">
        <w:rPr>
          <w:rFonts w:eastAsia="Arial" w:cs="Times New Roman"/>
        </w:rPr>
        <w:t xml:space="preserve"> analysed a sample of 7,304 UK residents aged 50+ drawn from the </w:t>
      </w:r>
      <w:hyperlink r:id="rId194" w:history="1">
        <w:r w:rsidRPr="009E3827">
          <w:rPr>
            <w:rStyle w:val="Hyperlink"/>
            <w:rFonts w:eastAsia="Arial" w:cs="Times New Roman"/>
          </w:rPr>
          <w:t>English Longitudinal Study of Ageing</w:t>
        </w:r>
      </w:hyperlink>
      <w:r w:rsidRPr="009E3827">
        <w:rPr>
          <w:rFonts w:eastAsia="Arial" w:cs="Times New Roman"/>
        </w:rPr>
        <w:t>.</w:t>
      </w:r>
      <w:r>
        <w:rPr>
          <w:rFonts w:eastAsia="Arial" w:cs="Times New Roman"/>
        </w:rPr>
        <w:t xml:space="preserve"> </w:t>
      </w:r>
      <w:r w:rsidRPr="009E3827">
        <w:rPr>
          <w:rFonts w:eastAsia="Arial"/>
        </w:rPr>
        <w:t>The data revealed that individuals reporting a higher meaning in life had:</w:t>
      </w:r>
    </w:p>
    <w:p w:rsidR="009E3827" w:rsidRPr="009E3827" w:rsidRDefault="009E3827" w:rsidP="009E3827">
      <w:pPr>
        <w:numPr>
          <w:ilvl w:val="0"/>
          <w:numId w:val="13"/>
        </w:numPr>
        <w:rPr>
          <w:rFonts w:eastAsia="Arial" w:cs="Times New Roman"/>
        </w:rPr>
      </w:pPr>
      <w:r w:rsidRPr="009E3827">
        <w:rPr>
          <w:rFonts w:eastAsia="Arial" w:cs="Times New Roman"/>
        </w:rPr>
        <w:t>lower risk of divorce</w:t>
      </w:r>
    </w:p>
    <w:p w:rsidR="009E3827" w:rsidRPr="009E3827" w:rsidRDefault="009E3827" w:rsidP="009E3827">
      <w:pPr>
        <w:numPr>
          <w:ilvl w:val="0"/>
          <w:numId w:val="13"/>
        </w:numPr>
        <w:rPr>
          <w:rFonts w:eastAsia="Arial" w:cs="Times New Roman"/>
        </w:rPr>
      </w:pPr>
      <w:r w:rsidRPr="009E3827">
        <w:rPr>
          <w:rFonts w:eastAsia="Arial" w:cs="Times New Roman"/>
        </w:rPr>
        <w:t>lower risk of living alone</w:t>
      </w:r>
    </w:p>
    <w:p w:rsidR="009E3827" w:rsidRPr="009E3827" w:rsidRDefault="009E3827" w:rsidP="009E3827">
      <w:pPr>
        <w:numPr>
          <w:ilvl w:val="0"/>
          <w:numId w:val="13"/>
        </w:numPr>
        <w:rPr>
          <w:rFonts w:eastAsia="Arial" w:cs="Times New Roman"/>
        </w:rPr>
      </w:pPr>
      <w:r w:rsidRPr="009E3827">
        <w:rPr>
          <w:rFonts w:eastAsia="Arial" w:cs="Times New Roman"/>
        </w:rPr>
        <w:t>increased connections with friends and engagement in social and cultural activities</w:t>
      </w:r>
    </w:p>
    <w:p w:rsidR="009E3827" w:rsidRPr="009E3827" w:rsidRDefault="009E3827" w:rsidP="009E3827">
      <w:pPr>
        <w:numPr>
          <w:ilvl w:val="0"/>
          <w:numId w:val="13"/>
        </w:numPr>
        <w:rPr>
          <w:rFonts w:eastAsia="Arial" w:cs="Times New Roman"/>
        </w:rPr>
      </w:pPr>
      <w:r w:rsidRPr="009E3827">
        <w:rPr>
          <w:rFonts w:eastAsia="Arial" w:cs="Times New Roman"/>
        </w:rPr>
        <w:t>lower incidence of new chronic disease and onset of depression</w:t>
      </w:r>
    </w:p>
    <w:p w:rsidR="009E3827" w:rsidRPr="009E3827" w:rsidRDefault="009E3827" w:rsidP="009E3827">
      <w:pPr>
        <w:numPr>
          <w:ilvl w:val="0"/>
          <w:numId w:val="13"/>
        </w:numPr>
        <w:rPr>
          <w:rFonts w:eastAsia="Arial" w:cs="Times New Roman"/>
        </w:rPr>
      </w:pPr>
      <w:r w:rsidRPr="009E3827">
        <w:rPr>
          <w:rFonts w:eastAsia="Arial" w:cs="Times New Roman"/>
        </w:rPr>
        <w:t>lower obesity and increased physical activity</w:t>
      </w:r>
    </w:p>
    <w:p w:rsidR="009E3827" w:rsidRPr="009E3827" w:rsidRDefault="009E3827" w:rsidP="009E3827">
      <w:pPr>
        <w:numPr>
          <w:ilvl w:val="0"/>
          <w:numId w:val="13"/>
        </w:numPr>
        <w:rPr>
          <w:rFonts w:eastAsia="Arial" w:cs="Times New Roman"/>
        </w:rPr>
      </w:pPr>
      <w:r w:rsidRPr="009E3827">
        <w:rPr>
          <w:rFonts w:eastAsia="Arial" w:cs="Times New Roman"/>
        </w:rPr>
        <w:t>increased adoption of positive health behaviours (exercising, eating fruit and veg).</w:t>
      </w:r>
    </w:p>
    <w:p w:rsidR="009E3827" w:rsidRDefault="009E3827" w:rsidP="009E3827">
      <w:pPr>
        <w:rPr>
          <w:rFonts w:eastAsia="Arial" w:cs="Times New Roman"/>
        </w:rPr>
      </w:pPr>
    </w:p>
    <w:p w:rsidR="009E3827" w:rsidRDefault="009E3827" w:rsidP="00AD637D">
      <w:pPr>
        <w:jc w:val="center"/>
        <w:rPr>
          <w:rFonts w:eastAsia="Arial" w:cs="Times New Roman"/>
        </w:rPr>
      </w:pPr>
    </w:p>
    <w:p w:rsidR="00AD637D" w:rsidRDefault="00AD637D" w:rsidP="00AD637D">
      <w:pPr>
        <w:jc w:val="center"/>
        <w:rPr>
          <w:rFonts w:eastAsia="Times New Roman" w:cs="Times New Roman"/>
          <w:b/>
          <w:sz w:val="32"/>
          <w:szCs w:val="32"/>
          <w:lang w:val="en-US"/>
        </w:rPr>
      </w:pPr>
      <w:r>
        <w:rPr>
          <w:rFonts w:eastAsia="Times New Roman" w:cs="Times New Roman"/>
          <w:b/>
          <w:sz w:val="32"/>
          <w:szCs w:val="32"/>
          <w:lang w:val="en-US"/>
        </w:rPr>
        <w:t xml:space="preserve">Report from Google Analytics for the </w:t>
      </w:r>
      <w:proofErr w:type="spellStart"/>
      <w:r>
        <w:rPr>
          <w:rFonts w:eastAsia="Times New Roman" w:cs="Times New Roman"/>
          <w:b/>
          <w:sz w:val="32"/>
          <w:szCs w:val="32"/>
          <w:lang w:val="en-US"/>
        </w:rPr>
        <w:t>ACQol</w:t>
      </w:r>
      <w:proofErr w:type="spellEnd"/>
      <w:r>
        <w:rPr>
          <w:rFonts w:eastAsia="Times New Roman" w:cs="Times New Roman"/>
          <w:b/>
          <w:sz w:val="32"/>
          <w:szCs w:val="32"/>
          <w:lang w:val="en-US"/>
        </w:rPr>
        <w:t xml:space="preserve"> site</w:t>
      </w:r>
    </w:p>
    <w:p w:rsidR="00AD637D" w:rsidRDefault="00AD637D" w:rsidP="00AD637D">
      <w:pPr>
        <w:jc w:val="center"/>
        <w:rPr>
          <w:rFonts w:eastAsia="Times New Roman" w:cs="Times New Roman"/>
          <w:lang w:eastAsia="en-AU"/>
        </w:rPr>
      </w:pPr>
      <w:r>
        <w:rPr>
          <w:rFonts w:eastAsia="Times New Roman" w:cs="Times New Roman"/>
          <w:lang w:eastAsia="en-AU"/>
        </w:rPr>
        <w:t xml:space="preserve">Inclusive period: </w:t>
      </w:r>
      <w:r w:rsidR="00C326F1">
        <w:rPr>
          <w:rFonts w:eastAsia="Times New Roman" w:cs="Times New Roman"/>
          <w:lang w:eastAsia="en-AU"/>
        </w:rPr>
        <w:t>July</w:t>
      </w:r>
      <w:r>
        <w:rPr>
          <w:rFonts w:eastAsia="Times New Roman" w:cs="Times New Roman"/>
          <w:lang w:eastAsia="en-AU"/>
        </w:rPr>
        <w:t xml:space="preserve"> 2019</w:t>
      </w:r>
    </w:p>
    <w:p w:rsidR="00AD637D" w:rsidRDefault="00AD637D" w:rsidP="00AD637D">
      <w:pPr>
        <w:jc w:val="center"/>
        <w:rPr>
          <w:rFonts w:eastAsia="Times New Roman" w:cs="Times New Roman"/>
          <w:lang w:eastAsia="en-AU"/>
        </w:rPr>
      </w:pPr>
      <w:r>
        <w:rPr>
          <w:rFonts w:eastAsia="Times New Roman" w:cs="Times New Roman"/>
          <w:lang w:eastAsia="en-AU"/>
        </w:rPr>
        <w:t xml:space="preserve">Number of users = </w:t>
      </w:r>
      <w:r w:rsidR="00C326F1">
        <w:rPr>
          <w:rFonts w:eastAsia="Times New Roman" w:cs="Times New Roman"/>
          <w:lang w:eastAsia="en-AU"/>
        </w:rPr>
        <w:t>696</w:t>
      </w:r>
    </w:p>
    <w:p w:rsidR="00D60C66" w:rsidRPr="002C296F" w:rsidRDefault="00D60C66" w:rsidP="00D60C66">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AD637D" w:rsidRDefault="00CD5941" w:rsidP="00F3120B">
      <w:pPr>
        <w:rPr>
          <w:rStyle w:val="Hyperlink"/>
          <w:rFonts w:eastAsia="Arial" w:cs="Times New Roman"/>
          <w:sz w:val="20"/>
          <w:szCs w:val="20"/>
        </w:rPr>
      </w:pPr>
      <w:r w:rsidRPr="00CD5941">
        <w:rPr>
          <w:rFonts w:eastAsia="Arial" w:cs="Times New Roman"/>
          <w:sz w:val="20"/>
          <w:szCs w:val="20"/>
        </w:rPr>
        <w:t xml:space="preserve">International Wellbeing Group. (2013). </w:t>
      </w:r>
      <w:r w:rsidRPr="00CD5941">
        <w:rPr>
          <w:rFonts w:eastAsia="Arial" w:cs="Times New Roman"/>
          <w:i/>
          <w:iCs/>
          <w:sz w:val="20"/>
          <w:szCs w:val="20"/>
        </w:rPr>
        <w:t>Personal Wellbeing Index Manual: 5th Edition</w:t>
      </w:r>
      <w:r w:rsidRPr="00CD5941">
        <w:rPr>
          <w:rFonts w:eastAsia="Arial" w:cs="Times New Roman"/>
          <w:sz w:val="20"/>
          <w:szCs w:val="20"/>
        </w:rPr>
        <w:t xml:space="preserve">. Retrieved from </w:t>
      </w:r>
      <w:hyperlink r:id="rId195" w:history="1">
        <w:r w:rsidRPr="00CD5941">
          <w:rPr>
            <w:rStyle w:val="Hyperlink"/>
            <w:rFonts w:eastAsia="Arial" w:cs="Times New Roman"/>
            <w:sz w:val="20"/>
            <w:szCs w:val="20"/>
          </w:rPr>
          <w:t>http://www.acqol.com.au/instruments</w:t>
        </w:r>
      </w:hyperlink>
    </w:p>
    <w:p w:rsidR="00DC631F" w:rsidRPr="00DC631F" w:rsidRDefault="00DC631F" w:rsidP="00DC631F">
      <w:pPr>
        <w:rPr>
          <w:rFonts w:eastAsia="Arial" w:cs="Times New Roman"/>
          <w:b/>
          <w:color w:val="0563C1" w:themeColor="hyperlink"/>
          <w:sz w:val="20"/>
          <w:szCs w:val="20"/>
          <w:u w:val="single"/>
        </w:rPr>
      </w:pPr>
    </w:p>
    <w:p w:rsidR="00DC631F" w:rsidRDefault="00DC631F" w:rsidP="00DC631F">
      <w:pPr>
        <w:rPr>
          <w:rFonts w:eastAsia="Arial" w:cs="Times New Roman"/>
          <w:sz w:val="20"/>
          <w:szCs w:val="20"/>
          <w:lang w:val="en-US"/>
        </w:rPr>
      </w:pPr>
      <w:r w:rsidRPr="00DC631F">
        <w:rPr>
          <w:rFonts w:eastAsia="Arial" w:cs="Times New Roman"/>
          <w:b/>
          <w:sz w:val="20"/>
          <w:szCs w:val="20"/>
          <w:lang w:val="en-US"/>
        </w:rPr>
        <w:fldChar w:fldCharType="begin"/>
      </w:r>
      <w:r w:rsidRPr="00DC631F">
        <w:rPr>
          <w:rFonts w:eastAsia="Arial" w:cs="Times New Roman"/>
          <w:b/>
          <w:sz w:val="20"/>
          <w:szCs w:val="20"/>
          <w:lang w:val="en-US"/>
        </w:rPr>
        <w:instrText xml:space="preserve"> ADDIN EN.REFLIST </w:instrText>
      </w:r>
      <w:r w:rsidRPr="00DC631F">
        <w:rPr>
          <w:rFonts w:eastAsia="Arial" w:cs="Times New Roman"/>
          <w:b/>
          <w:sz w:val="20"/>
          <w:szCs w:val="20"/>
          <w:lang w:val="en-US"/>
        </w:rPr>
        <w:fldChar w:fldCharType="separate"/>
      </w:r>
      <w:r w:rsidRPr="00DC631F">
        <w:rPr>
          <w:rFonts w:eastAsia="Arial" w:cs="Times New Roman"/>
          <w:sz w:val="20"/>
          <w:szCs w:val="20"/>
          <w:lang w:val="en-US"/>
        </w:rPr>
        <w:t xml:space="preserve">Capic, T., Li, N., &amp; Cummins, R. A. (2018). Confirmation of Subjective Wellbeing Set-points: Foundational for Subjective Social Indicators. </w:t>
      </w:r>
      <w:r w:rsidRPr="00DC631F">
        <w:rPr>
          <w:rFonts w:eastAsia="Arial" w:cs="Times New Roman"/>
          <w:i/>
          <w:sz w:val="20"/>
          <w:szCs w:val="20"/>
          <w:lang w:val="en-US"/>
        </w:rPr>
        <w:t>Social Indicators Research, 137</w:t>
      </w:r>
      <w:r w:rsidRPr="00DC631F">
        <w:rPr>
          <w:rFonts w:eastAsia="Arial" w:cs="Times New Roman"/>
          <w:sz w:val="20"/>
          <w:szCs w:val="20"/>
          <w:lang w:val="en-US"/>
        </w:rPr>
        <w:t xml:space="preserve">(1), 1-28. Retrieved from 10.1007/s11205-017-1585-5. </w:t>
      </w:r>
    </w:p>
    <w:p w:rsidR="00DC631F" w:rsidRPr="00DC631F" w:rsidRDefault="00DC631F" w:rsidP="00DC631F">
      <w:pPr>
        <w:rPr>
          <w:rFonts w:eastAsia="Arial" w:cs="Times New Roman"/>
          <w:sz w:val="20"/>
          <w:szCs w:val="20"/>
          <w:lang w:val="en-US"/>
        </w:rPr>
      </w:pPr>
    </w:p>
    <w:p w:rsidR="00DC631F" w:rsidRDefault="00DC631F" w:rsidP="00DC631F">
      <w:pPr>
        <w:rPr>
          <w:rFonts w:eastAsia="Arial" w:cs="Times New Roman"/>
          <w:sz w:val="20"/>
          <w:szCs w:val="20"/>
          <w:lang w:val="en-US"/>
        </w:rPr>
      </w:pPr>
      <w:r w:rsidRPr="00DC631F">
        <w:rPr>
          <w:rFonts w:eastAsia="Arial" w:cs="Times New Roman"/>
          <w:sz w:val="20"/>
          <w:szCs w:val="20"/>
          <w:lang w:val="en-US"/>
        </w:rPr>
        <w:t xml:space="preserve">Cummins, R. A., Walter, J., &amp; Woerner, J. (2007a). </w:t>
      </w:r>
      <w:r w:rsidRPr="00DC631F">
        <w:rPr>
          <w:rFonts w:eastAsia="Arial" w:cs="Times New Roman"/>
          <w:i/>
          <w:sz w:val="20"/>
          <w:szCs w:val="20"/>
          <w:lang w:val="en-US"/>
        </w:rPr>
        <w:t xml:space="preserve">Australian Unity Wellbeing Index: Report 16.1 - “The Wellbeing of Australians - Groups with the highest and lowest wellbeing in Australia”. </w:t>
      </w:r>
      <w:r w:rsidRPr="00DC631F">
        <w:rPr>
          <w:rFonts w:eastAsia="Arial" w:cs="Times New Roman"/>
          <w:sz w:val="20"/>
          <w:szCs w:val="20"/>
          <w:lang w:val="en-US"/>
        </w:rPr>
        <w:t xml:space="preserve">. Melbourne: Australian Centre on Quality of Life, School of Psychology, Deakin University. </w:t>
      </w:r>
      <w:hyperlink r:id="rId196" w:anchor="reports" w:history="1">
        <w:r w:rsidRPr="00DC631F">
          <w:rPr>
            <w:rStyle w:val="Hyperlink"/>
            <w:rFonts w:eastAsia="Arial" w:cs="Times New Roman"/>
            <w:color w:val="auto"/>
            <w:sz w:val="20"/>
            <w:szCs w:val="20"/>
            <w:u w:val="none"/>
            <w:lang w:val="en-US"/>
          </w:rPr>
          <w:t>http://www.acqol.com.au/publications#reports</w:t>
        </w:r>
      </w:hyperlink>
      <w:r w:rsidRPr="00DC631F">
        <w:rPr>
          <w:rFonts w:eastAsia="Arial" w:cs="Times New Roman"/>
          <w:sz w:val="20"/>
          <w:szCs w:val="20"/>
          <w:lang w:val="en-US"/>
        </w:rPr>
        <w:t>.</w:t>
      </w:r>
    </w:p>
    <w:p w:rsidR="00DC631F" w:rsidRPr="00DC631F" w:rsidRDefault="00DC631F" w:rsidP="00DC631F">
      <w:pPr>
        <w:rPr>
          <w:rFonts w:eastAsia="Arial" w:cs="Times New Roman"/>
          <w:sz w:val="20"/>
          <w:szCs w:val="20"/>
          <w:lang w:val="en-US"/>
        </w:rPr>
      </w:pPr>
    </w:p>
    <w:p w:rsidR="00DC631F" w:rsidRDefault="00DC631F" w:rsidP="00DC631F">
      <w:pPr>
        <w:rPr>
          <w:rFonts w:eastAsia="Arial" w:cs="Times New Roman"/>
          <w:sz w:val="20"/>
          <w:szCs w:val="20"/>
          <w:lang w:val="en-US"/>
        </w:rPr>
      </w:pPr>
      <w:r w:rsidRPr="00DC631F">
        <w:rPr>
          <w:rFonts w:eastAsia="Arial" w:cs="Times New Roman"/>
          <w:sz w:val="20"/>
          <w:szCs w:val="20"/>
          <w:lang w:val="en-US"/>
        </w:rPr>
        <w:t xml:space="preserve">Diener, E., &amp; Fujita, F. (1995). Resources, personal strivings, and subjective well-being: A nomothetic and idiographic approach. </w:t>
      </w:r>
      <w:r w:rsidRPr="00DC631F">
        <w:rPr>
          <w:rFonts w:eastAsia="Arial" w:cs="Times New Roman"/>
          <w:i/>
          <w:sz w:val="20"/>
          <w:szCs w:val="20"/>
          <w:lang w:val="en-US"/>
        </w:rPr>
        <w:t>Journal of Personality and Social Psychology, 68</w:t>
      </w:r>
      <w:r w:rsidRPr="00DC631F">
        <w:rPr>
          <w:rFonts w:eastAsia="Arial" w:cs="Times New Roman"/>
          <w:sz w:val="20"/>
          <w:szCs w:val="20"/>
          <w:lang w:val="en-US"/>
        </w:rPr>
        <w:t xml:space="preserve">(5), 926-935. </w:t>
      </w:r>
    </w:p>
    <w:p w:rsidR="00DC631F" w:rsidRPr="00DC631F" w:rsidRDefault="00DC631F" w:rsidP="00DC631F">
      <w:pPr>
        <w:rPr>
          <w:rFonts w:eastAsia="Arial" w:cs="Times New Roman"/>
          <w:sz w:val="20"/>
          <w:szCs w:val="20"/>
          <w:lang w:val="en-US"/>
        </w:rPr>
      </w:pPr>
    </w:p>
    <w:p w:rsidR="00DC631F" w:rsidRDefault="00DC631F" w:rsidP="00DC631F">
      <w:pPr>
        <w:rPr>
          <w:rFonts w:eastAsia="Arial" w:cs="Times New Roman"/>
          <w:sz w:val="20"/>
          <w:szCs w:val="20"/>
          <w:lang w:val="en-US"/>
        </w:rPr>
      </w:pPr>
      <w:r w:rsidRPr="00DC631F">
        <w:rPr>
          <w:rFonts w:eastAsia="Arial" w:cs="Times New Roman"/>
          <w:sz w:val="20"/>
          <w:szCs w:val="20"/>
          <w:lang w:val="en-US"/>
        </w:rPr>
        <w:t xml:space="preserve">Khor, S., Cummins, R. A., Fuller-Tyszkiewicz, M., Capic, T., Garth, E., Olsson, C. A., &amp; Hutchinson, D. (2019). </w:t>
      </w:r>
      <w:r w:rsidRPr="00DC631F">
        <w:rPr>
          <w:rFonts w:eastAsia="Arial" w:cs="Times New Roman"/>
          <w:i/>
          <w:sz w:val="20"/>
          <w:szCs w:val="20"/>
          <w:lang w:val="en-US"/>
        </w:rPr>
        <w:t>Australian Unity Wellbeing Index: - Report 35.1 Ageing Well: Predicting Positive Transitions to Retirement</w:t>
      </w:r>
      <w:r w:rsidRPr="00DC631F">
        <w:rPr>
          <w:rFonts w:eastAsia="Arial" w:cs="Times New Roman"/>
          <w:sz w:val="20"/>
          <w:szCs w:val="20"/>
          <w:lang w:val="en-US"/>
        </w:rPr>
        <w:t>. Geelong: Australian Centre on Quality of Life, School of Psychology, Deakin University. (in press).</w:t>
      </w:r>
    </w:p>
    <w:p w:rsidR="00DC631F" w:rsidRPr="00DC631F" w:rsidRDefault="00DC631F" w:rsidP="00DC631F">
      <w:pPr>
        <w:rPr>
          <w:rFonts w:eastAsia="Arial" w:cs="Times New Roman"/>
          <w:sz w:val="20"/>
          <w:szCs w:val="20"/>
          <w:lang w:val="en-US"/>
        </w:rPr>
      </w:pPr>
    </w:p>
    <w:p w:rsidR="00DC631F" w:rsidRDefault="00DC631F" w:rsidP="00DC631F">
      <w:pPr>
        <w:rPr>
          <w:rFonts w:eastAsia="Arial" w:cs="Times New Roman"/>
          <w:sz w:val="20"/>
          <w:szCs w:val="20"/>
          <w:lang w:val="en-US"/>
        </w:rPr>
      </w:pPr>
      <w:r w:rsidRPr="00DC631F">
        <w:rPr>
          <w:rFonts w:eastAsia="Arial" w:cs="Times New Roman"/>
          <w:sz w:val="20"/>
          <w:szCs w:val="20"/>
          <w:lang w:val="en-US"/>
        </w:rPr>
        <w:t xml:space="preserve">Lyubomirsky, S., Sheldon, K. M., &amp; Schkade, D. (2005). Pursuing happiness: the architecture of sustainable change. </w:t>
      </w:r>
      <w:r w:rsidRPr="00DC631F">
        <w:rPr>
          <w:rFonts w:eastAsia="Arial" w:cs="Times New Roman"/>
          <w:i/>
          <w:sz w:val="20"/>
          <w:szCs w:val="20"/>
          <w:lang w:val="en-US"/>
        </w:rPr>
        <w:t>Review of General Psychology, 9</w:t>
      </w:r>
      <w:r w:rsidRPr="00DC631F">
        <w:rPr>
          <w:rFonts w:eastAsia="Arial" w:cs="Times New Roman"/>
          <w:sz w:val="20"/>
          <w:szCs w:val="20"/>
          <w:lang w:val="en-US"/>
        </w:rPr>
        <w:t xml:space="preserve">, 111-131. </w:t>
      </w:r>
    </w:p>
    <w:p w:rsidR="00DC631F" w:rsidRPr="00DC631F" w:rsidRDefault="00DC631F" w:rsidP="00DC631F">
      <w:pPr>
        <w:rPr>
          <w:rFonts w:eastAsia="Arial" w:cs="Times New Roman"/>
          <w:sz w:val="20"/>
          <w:szCs w:val="20"/>
          <w:lang w:val="en-US"/>
        </w:rPr>
      </w:pPr>
    </w:p>
    <w:p w:rsidR="00DC631F" w:rsidRPr="00DC631F" w:rsidRDefault="00DC631F" w:rsidP="00DC631F">
      <w:pPr>
        <w:rPr>
          <w:rFonts w:eastAsia="Arial" w:cs="Times New Roman"/>
          <w:sz w:val="20"/>
          <w:szCs w:val="20"/>
          <w:lang w:val="en-US"/>
        </w:rPr>
      </w:pPr>
      <w:r w:rsidRPr="00DC631F">
        <w:rPr>
          <w:rFonts w:eastAsia="Arial" w:cs="Times New Roman"/>
          <w:sz w:val="20"/>
          <w:szCs w:val="20"/>
          <w:lang w:val="en-US"/>
        </w:rPr>
        <w:t xml:space="preserve">Tomyn, A. J., Weinberg, M. K., &amp; Cummins, R. A. (2015). Intervention efficacy among ‘at risk’ adolescents: A test of Subjective Wellbeing Homeostasis Theory. </w:t>
      </w:r>
      <w:r w:rsidRPr="00DC631F">
        <w:rPr>
          <w:rFonts w:eastAsia="Arial" w:cs="Times New Roman"/>
          <w:i/>
          <w:sz w:val="20"/>
          <w:szCs w:val="20"/>
          <w:lang w:val="en-US"/>
        </w:rPr>
        <w:t>Social Indicators Research, 120</w:t>
      </w:r>
      <w:r w:rsidRPr="00DC631F">
        <w:rPr>
          <w:rFonts w:eastAsia="Arial" w:cs="Times New Roman"/>
          <w:sz w:val="20"/>
          <w:szCs w:val="20"/>
          <w:lang w:val="en-US"/>
        </w:rPr>
        <w:t>(3), 883-895. doi:10.1007/s11205-014-0619-5</w:t>
      </w:r>
    </w:p>
    <w:p w:rsidR="00DC631F" w:rsidRPr="00CD5941" w:rsidRDefault="00DC631F" w:rsidP="00DC631F">
      <w:pPr>
        <w:rPr>
          <w:rFonts w:eastAsia="Arial" w:cs="Times New Roman"/>
          <w:sz w:val="20"/>
          <w:szCs w:val="20"/>
        </w:rPr>
      </w:pPr>
      <w:r w:rsidRPr="00DC631F">
        <w:rPr>
          <w:rFonts w:eastAsia="Arial" w:cs="Times New Roman"/>
          <w:sz w:val="20"/>
          <w:szCs w:val="20"/>
        </w:rPr>
        <w:fldChar w:fldCharType="end"/>
      </w:r>
    </w:p>
    <w:p w:rsidR="00CD5941" w:rsidRDefault="00CD5941" w:rsidP="00F3120B">
      <w:pPr>
        <w:rPr>
          <w:rFonts w:eastAsia="Arial" w:cs="Times New Roman"/>
          <w:b/>
          <w:sz w:val="28"/>
          <w:szCs w:val="28"/>
          <w:highlight w:val="green"/>
        </w:rPr>
      </w:pPr>
    </w:p>
    <w:p w:rsidR="00CD5941" w:rsidRDefault="00CD5941" w:rsidP="00F3120B">
      <w:pPr>
        <w:rPr>
          <w:rFonts w:eastAsia="Arial" w:cs="Times New Roman"/>
          <w:b/>
          <w:sz w:val="28"/>
          <w:szCs w:val="28"/>
          <w:highlight w:val="green"/>
        </w:rPr>
      </w:pPr>
    </w:p>
    <w:p w:rsidR="00F3120B" w:rsidRPr="00BB5D46" w:rsidRDefault="00F3120B" w:rsidP="00F3120B">
      <w:pPr>
        <w:rPr>
          <w:rFonts w:eastAsia="Arial" w:cs="Times New Roman"/>
          <w:b/>
          <w:sz w:val="28"/>
          <w:szCs w:val="28"/>
        </w:rPr>
      </w:pPr>
      <w:proofErr w:type="spellStart"/>
      <w:r w:rsidRPr="00173464">
        <w:rPr>
          <w:rFonts w:eastAsia="Arial" w:cs="Times New Roman"/>
          <w:b/>
          <w:sz w:val="28"/>
          <w:szCs w:val="28"/>
          <w:highlight w:val="green"/>
        </w:rPr>
        <w:t>ACQol</w:t>
      </w:r>
      <w:proofErr w:type="spellEnd"/>
      <w:r w:rsidRPr="00173464">
        <w:rPr>
          <w:rFonts w:eastAsia="Arial" w:cs="Times New Roman"/>
          <w:b/>
          <w:sz w:val="28"/>
          <w:szCs w:val="28"/>
          <w:highlight w:val="green"/>
        </w:rPr>
        <w:t xml:space="preserve"> Bulletin Vol 3/</w:t>
      </w:r>
      <w:r w:rsidR="00D56F37" w:rsidRPr="00173464">
        <w:rPr>
          <w:rFonts w:eastAsia="Arial" w:cs="Times New Roman"/>
          <w:b/>
          <w:sz w:val="28"/>
          <w:szCs w:val="28"/>
          <w:highlight w:val="green"/>
        </w:rPr>
        <w:t>30</w:t>
      </w:r>
      <w:r w:rsidRPr="00173464">
        <w:rPr>
          <w:rFonts w:eastAsia="Arial" w:cs="Times New Roman"/>
          <w:b/>
          <w:sz w:val="28"/>
          <w:szCs w:val="28"/>
          <w:highlight w:val="green"/>
        </w:rPr>
        <w:t xml:space="preserve">: </w:t>
      </w:r>
      <w:r w:rsidR="00D56F37" w:rsidRPr="00173464">
        <w:rPr>
          <w:rFonts w:eastAsia="Arial" w:cs="Times New Roman"/>
          <w:b/>
          <w:sz w:val="28"/>
          <w:szCs w:val="28"/>
          <w:highlight w:val="green"/>
        </w:rPr>
        <w:t>250719</w:t>
      </w:r>
    </w:p>
    <w:p w:rsidR="00F3120B" w:rsidRPr="00BB5D46" w:rsidRDefault="00F3120B" w:rsidP="00F3120B">
      <w:pPr>
        <w:rPr>
          <w:rFonts w:eastAsia="Arial" w:cs="Times New Roman"/>
          <w:b/>
          <w:sz w:val="28"/>
          <w:szCs w:val="28"/>
        </w:rPr>
      </w:pPr>
      <w:r w:rsidRPr="00BB5D46">
        <w:rPr>
          <w:rFonts w:eastAsia="Arial" w:cs="Times New Roman"/>
          <w:b/>
          <w:sz w:val="28"/>
          <w:szCs w:val="28"/>
        </w:rPr>
        <w:t>Bulletin of the Australian Centre on Quality of Life</w:t>
      </w:r>
    </w:p>
    <w:p w:rsidR="00F3120B" w:rsidRPr="00BB5D46" w:rsidRDefault="00DF3874" w:rsidP="00F3120B">
      <w:pPr>
        <w:rPr>
          <w:rFonts w:eastAsia="Arial" w:cs="Times New Roman"/>
        </w:rPr>
      </w:pPr>
      <w:hyperlink r:id="rId197" w:history="1">
        <w:r w:rsidR="00F3120B" w:rsidRPr="00BB5D46">
          <w:rPr>
            <w:rFonts w:eastAsia="Arial" w:cs="Times New Roman"/>
            <w:color w:val="0563C1"/>
            <w:u w:val="single"/>
          </w:rPr>
          <w:t>http://www.acqol.com.au/</w:t>
        </w:r>
      </w:hyperlink>
    </w:p>
    <w:p w:rsidR="00F3120B" w:rsidRPr="00AE19B8" w:rsidRDefault="00F3120B" w:rsidP="00F3120B">
      <w:pPr>
        <w:rPr>
          <w:rFonts w:eastAsia="Arial" w:cs="Times New Roman"/>
        </w:rPr>
      </w:pPr>
      <w:r w:rsidRPr="00BB5D46">
        <w:rPr>
          <w:rFonts w:eastAsia="Arial" w:cs="Times New Roman"/>
        </w:rPr>
        <w:lastRenderedPageBreak/>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F3120B" w:rsidRPr="00BB5D46" w:rsidRDefault="00F3120B" w:rsidP="00F3120B">
      <w:pPr>
        <w:rPr>
          <w:rFonts w:eastAsia="Arial" w:cs="Times New Roman"/>
          <w:b/>
        </w:rPr>
      </w:pPr>
      <w:r w:rsidRPr="00BB5D46">
        <w:rPr>
          <w:rFonts w:eastAsia="Arial" w:cs="Times New Roman"/>
          <w:b/>
        </w:rPr>
        <w:t xml:space="preserve">Back-issues of the Bulletin are available at </w:t>
      </w:r>
      <w:hyperlink r:id="rId198" w:anchor="bulletins" w:history="1">
        <w:r w:rsidRPr="00BB5D46">
          <w:rPr>
            <w:rFonts w:eastAsia="Arial" w:cs="Times New Roman"/>
            <w:color w:val="0563C1"/>
            <w:u w:val="single"/>
          </w:rPr>
          <w:t>http://www.acqol.com.au/projects#bulletins</w:t>
        </w:r>
      </w:hyperlink>
    </w:p>
    <w:p w:rsidR="00F3120B" w:rsidRPr="00BB5D46" w:rsidRDefault="00F3120B" w:rsidP="00F3120B">
      <w:pPr>
        <w:rPr>
          <w:rFonts w:eastAsia="Arial" w:cs="Times New Roman"/>
          <w:color w:val="0563C1"/>
          <w:u w:val="single"/>
        </w:rPr>
      </w:pPr>
    </w:p>
    <w:p w:rsidR="00F3120B" w:rsidRPr="00BB5D46" w:rsidRDefault="00F3120B" w:rsidP="00F3120B">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F3120B" w:rsidRDefault="00F3120B" w:rsidP="00F3120B">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F3120B" w:rsidRDefault="00F3120B" w:rsidP="00F3120B">
      <w:pPr>
        <w:rPr>
          <w:rFonts w:eastAsia="Arial" w:cs="Times New Roman"/>
        </w:rPr>
      </w:pPr>
    </w:p>
    <w:p w:rsidR="00F3120B" w:rsidRPr="00BB5D46" w:rsidRDefault="00F3120B" w:rsidP="00F3120B">
      <w:pPr>
        <w:jc w:val="center"/>
        <w:rPr>
          <w:rFonts w:eastAsia="Arial" w:cs="Times New Roman"/>
          <w:b/>
          <w:sz w:val="32"/>
          <w:szCs w:val="32"/>
        </w:rPr>
      </w:pPr>
      <w:r w:rsidRPr="00BB5D46">
        <w:rPr>
          <w:rFonts w:eastAsia="Arial" w:cs="Times New Roman"/>
          <w:b/>
          <w:sz w:val="32"/>
          <w:szCs w:val="32"/>
        </w:rPr>
        <w:t>Paper for private study</w:t>
      </w:r>
    </w:p>
    <w:p w:rsidR="00F3120B" w:rsidRDefault="00F3120B" w:rsidP="00F3120B">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F3120B" w:rsidRDefault="00F3120B" w:rsidP="00F3120B">
      <w:pPr>
        <w:jc w:val="center"/>
        <w:rPr>
          <w:rFonts w:eastAsia="Arial" w:cs="Times New Roman"/>
        </w:rPr>
      </w:pPr>
    </w:p>
    <w:p w:rsidR="007B5802" w:rsidRPr="007B5802" w:rsidRDefault="00F3120B" w:rsidP="007B5802">
      <w:pPr>
        <w:rPr>
          <w:rFonts w:eastAsia="Arial" w:cs="Times New Roman"/>
        </w:rPr>
      </w:pPr>
      <w:r w:rsidRPr="00BB5D46">
        <w:rPr>
          <w:rFonts w:eastAsia="Arial" w:cs="Times New Roman"/>
          <w:b/>
        </w:rPr>
        <w:t>Background:</w:t>
      </w:r>
      <w:r w:rsidRPr="00BB5D46">
        <w:rPr>
          <w:rFonts w:eastAsia="Arial" w:cs="Times New Roman"/>
        </w:rPr>
        <w:t xml:space="preserve"> </w:t>
      </w:r>
      <w:r w:rsidR="00E2266C">
        <w:rPr>
          <w:rFonts w:eastAsia="Arial" w:cs="Times New Roman"/>
        </w:rPr>
        <w:t>General</w:t>
      </w:r>
      <w:r w:rsidR="007B5802" w:rsidRPr="007B5802">
        <w:rPr>
          <w:rFonts w:eastAsia="Arial" w:cs="Times New Roman"/>
        </w:rPr>
        <w:t xml:space="preserve"> population survey</w:t>
      </w:r>
      <w:r w:rsidR="00E2266C">
        <w:rPr>
          <w:rFonts w:eastAsia="Arial" w:cs="Times New Roman"/>
        </w:rPr>
        <w:t>s</w:t>
      </w:r>
      <w:r w:rsidR="007B5802" w:rsidRPr="007B5802">
        <w:rPr>
          <w:rFonts w:eastAsia="Arial" w:cs="Times New Roman"/>
        </w:rPr>
        <w:t xml:space="preserve"> </w:t>
      </w:r>
      <w:r w:rsidR="00E2266C">
        <w:rPr>
          <w:rFonts w:eastAsia="Arial" w:cs="Times New Roman"/>
        </w:rPr>
        <w:t>typically ask</w:t>
      </w:r>
      <w:r w:rsidR="007B5802" w:rsidRPr="007B5802">
        <w:rPr>
          <w:rFonts w:eastAsia="Arial" w:cs="Times New Roman"/>
        </w:rPr>
        <w:t xml:space="preserve"> respondents to declare their marital status. As a consequence, a huge number of papers report on the level of wellbeing experienced by people who are married, divorced, widowed, et cetera, </w:t>
      </w:r>
      <w:r w:rsidR="00890DD6">
        <w:rPr>
          <w:rFonts w:eastAsia="Arial" w:cs="Times New Roman"/>
        </w:rPr>
        <w:t>correlated with</w:t>
      </w:r>
      <w:r w:rsidR="007B5802" w:rsidRPr="007B5802">
        <w:rPr>
          <w:rFonts w:eastAsia="Arial" w:cs="Times New Roman"/>
        </w:rPr>
        <w:t xml:space="preserve"> other variables. So dense is this coverage that it is difficult to create a new angle. The current paper demonstrates this difficulty. Using data from two major surveys it is found that the Global Life Satisfaction (Satisfaction with life as a whole: GLS) of married&gt;single; that this higher level continues for some time after the actual marriage; and the mid-life dip in GLS is attenuated by marriage. Their claimed novel result is that married people, for whom their partner is also their best friend, have a higher GLS than those whose best friend is someone else. While this may be a new result, it is also intuitive.</w:t>
      </w:r>
    </w:p>
    <w:p w:rsidR="007B5802" w:rsidRPr="007B5802" w:rsidRDefault="007B5802" w:rsidP="007B5802">
      <w:pPr>
        <w:rPr>
          <w:rFonts w:eastAsia="Arial" w:cs="Times New Roman"/>
        </w:rPr>
      </w:pPr>
    </w:p>
    <w:p w:rsidR="007B5802" w:rsidRPr="007B5802" w:rsidRDefault="007B5802" w:rsidP="007B5802">
      <w:pPr>
        <w:rPr>
          <w:rFonts w:eastAsia="Arial" w:cs="Times New Roman"/>
        </w:rPr>
      </w:pPr>
      <w:r w:rsidRPr="007B5802">
        <w:rPr>
          <w:rFonts w:eastAsia="Arial" w:cs="Times New Roman"/>
        </w:rPr>
        <w:t>My interest in this paper was piqued by the authors’ use of ‘set point’ in the title. They state that “The aim of this paper is to use measures of life satisfaction from different surveys to</w:t>
      </w:r>
      <w:r w:rsidR="00E2266C">
        <w:rPr>
          <w:rFonts w:eastAsia="Arial" w:cs="Times New Roman"/>
        </w:rPr>
        <w:t xml:space="preserve"> </w:t>
      </w:r>
      <w:r w:rsidRPr="007B5802">
        <w:rPr>
          <w:rFonts w:eastAsia="Arial" w:cs="Times New Roman"/>
        </w:rPr>
        <w:t>estimate the size and permanence of the effects of marriage on subjective well-being” (p.374). They test this ‘level of permanence’ by statistically controlling for pre-marriage levels of GLS. They find that “contrary to past papers claiming full adaptation, the benefits of marriage persist in the long-term, even if the well-being benefits are greatest immediately after marriage” (p.384-385). The</w:t>
      </w:r>
      <w:r w:rsidR="00E2266C">
        <w:rPr>
          <w:rFonts w:eastAsia="Arial" w:cs="Times New Roman"/>
        </w:rPr>
        <w:t xml:space="preserve"> authors</w:t>
      </w:r>
      <w:r w:rsidRPr="007B5802">
        <w:rPr>
          <w:rFonts w:eastAsia="Arial" w:cs="Times New Roman"/>
        </w:rPr>
        <w:t xml:space="preserve"> then use this ‘persistence</w:t>
      </w:r>
      <w:r w:rsidR="00E2266C">
        <w:rPr>
          <w:rFonts w:eastAsia="Arial" w:cs="Times New Roman"/>
        </w:rPr>
        <w:t xml:space="preserve"> of raised GLS</w:t>
      </w:r>
      <w:r w:rsidRPr="007B5802">
        <w:rPr>
          <w:rFonts w:eastAsia="Arial" w:cs="Times New Roman"/>
        </w:rPr>
        <w:t xml:space="preserve">’ as evidence against the existence of </w:t>
      </w:r>
      <w:proofErr w:type="spellStart"/>
      <w:r w:rsidRPr="007B5802">
        <w:rPr>
          <w:rFonts w:eastAsia="Arial" w:cs="Times New Roman"/>
        </w:rPr>
        <w:t>setpoints</w:t>
      </w:r>
      <w:proofErr w:type="spellEnd"/>
      <w:r w:rsidRPr="007B5802">
        <w:rPr>
          <w:rFonts w:eastAsia="Arial" w:cs="Times New Roman"/>
        </w:rPr>
        <w:t>.</w:t>
      </w:r>
    </w:p>
    <w:p w:rsidR="007B5802" w:rsidRPr="007B5802" w:rsidRDefault="007B5802" w:rsidP="007B5802">
      <w:pPr>
        <w:rPr>
          <w:rFonts w:eastAsia="Arial" w:cs="Times New Roman"/>
        </w:rPr>
      </w:pPr>
    </w:p>
    <w:p w:rsidR="007B5802" w:rsidRPr="007B5802" w:rsidRDefault="007B5802" w:rsidP="007B5802">
      <w:pPr>
        <w:rPr>
          <w:rFonts w:eastAsia="Arial" w:cs="Times New Roman"/>
        </w:rPr>
      </w:pPr>
      <w:r w:rsidRPr="007B5802">
        <w:rPr>
          <w:rFonts w:eastAsia="Arial" w:cs="Times New Roman"/>
        </w:rPr>
        <w:t xml:space="preserve">In order to understand the critique to be offered below, it is necessary to re-visit the idea of set-point ranges. There are two such ranges </w:t>
      </w:r>
      <w:r w:rsidRPr="007B5802">
        <w:rPr>
          <w:rFonts w:eastAsia="Arial" w:cs="Times New Roman"/>
        </w:rPr>
        <w:fldChar w:fldCharType="begin"/>
      </w:r>
      <w:r w:rsidR="00DC631F">
        <w:rPr>
          <w:rFonts w:eastAsia="Arial" w:cs="Times New Roman"/>
        </w:rPr>
        <w:instrText xml:space="preserve"> ADDIN EN.CITE &lt;EndNote&gt;&lt;Cite&gt;&lt;Author&gt;Capic&lt;/Author&gt;&lt;Year&gt;2018b&lt;/Year&gt;&lt;RecNum&gt;3195&lt;/RecNum&gt;&lt;DisplayText&gt;(Capic et al., 2018; Cummins, Li, Wooden, &amp;amp; Stokes, 2014a)&lt;/DisplayText&gt;&lt;record&gt;&lt;rec-number&gt;3195&lt;/rec-number&gt;&lt;foreign-keys&gt;&lt;key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Cite&gt;&lt;Author&gt;Cummins&lt;/Author&gt;&lt;Year&gt;2014a&lt;/Year&gt;&lt;RecNum&gt;813&lt;/RecNum&gt;&lt;record&gt;&lt;rec-number&gt;813&lt;/rec-number&gt;&lt;foreign-keys&gt;&lt;key app="EN" db-id="z2xarpe9cfrvp4ezdxk5ddx9dsrzr05f22sa" timestamp="1351118016"&gt;813&lt;/key&gt;&lt;/foreign-keys&gt;&lt;ref-type name="Journal Article"&gt;17&lt;/ref-type&gt;&lt;contributors&gt;&lt;authors&gt;&lt;author&gt;Cummins, R. A.&lt;/author&gt;&lt;author&gt;Li, L.&lt;/author&gt;&lt;author&gt;Wooden, M.&lt;/author&gt;&lt;author&gt;Stokes, M.&lt;/author&gt;&lt;/authors&gt;&lt;/contributors&gt;&lt;titles&gt;&lt;title&gt;A demonstration of set-points for subjective wellbeing&lt;/title&gt;&lt;secondary-title&gt;Journal of Happiness Studies&lt;/secondary-title&gt;&lt;/titles&gt;&lt;periodical&gt;&lt;full-title&gt;Journal of Happiness Studies&lt;/full-title&gt;&lt;/periodical&gt;&lt;pages&gt;183-206&lt;/pages&gt;&lt;volume&gt;15&lt;/volume&gt;&lt;dates&gt;&lt;year&gt;2014a&lt;/year&gt;&lt;/dates&gt;&lt;urls&gt;&lt;/urls&gt;&lt;electronic-resource-num&gt;10.1007/s10902-013-9444-9&lt;/electronic-resource-num&gt;&lt;/record&gt;&lt;/Cite&gt;&lt;/EndNote&gt;</w:instrText>
      </w:r>
      <w:r w:rsidRPr="007B5802">
        <w:rPr>
          <w:rFonts w:eastAsia="Arial" w:cs="Times New Roman"/>
        </w:rPr>
        <w:fldChar w:fldCharType="separate"/>
      </w:r>
      <w:r w:rsidR="00DC631F">
        <w:rPr>
          <w:rFonts w:eastAsia="Arial" w:cs="Times New Roman"/>
          <w:noProof/>
        </w:rPr>
        <w:t>(Capic et al., 2018; Cummins, Li, Wooden, &amp; Stokes, 2014a)</w:t>
      </w:r>
      <w:r w:rsidRPr="007B5802">
        <w:rPr>
          <w:rFonts w:eastAsia="Arial" w:cs="Times New Roman"/>
        </w:rPr>
        <w:fldChar w:fldCharType="end"/>
      </w:r>
      <w:r w:rsidRPr="007B5802">
        <w:rPr>
          <w:rFonts w:eastAsia="Arial" w:cs="Times New Roman"/>
        </w:rPr>
        <w:t xml:space="preserve"> as:</w:t>
      </w:r>
    </w:p>
    <w:p w:rsidR="007B5802" w:rsidRPr="007B5802" w:rsidRDefault="007B5802" w:rsidP="007B5802">
      <w:pPr>
        <w:rPr>
          <w:rFonts w:eastAsia="Arial" w:cs="Times New Roman"/>
        </w:rPr>
      </w:pPr>
    </w:p>
    <w:p w:rsidR="007B5802" w:rsidRPr="007B5802" w:rsidRDefault="007B5802" w:rsidP="007B5802">
      <w:pPr>
        <w:rPr>
          <w:rFonts w:eastAsia="Arial" w:cs="Times New Roman"/>
        </w:rPr>
      </w:pPr>
      <w:r w:rsidRPr="007B5802">
        <w:rPr>
          <w:rFonts w:eastAsia="Arial" w:cs="Times New Roman"/>
        </w:rPr>
        <w:t xml:space="preserve">(a)  Each individual person has their own </w:t>
      </w:r>
      <w:proofErr w:type="spellStart"/>
      <w:r w:rsidRPr="007B5802">
        <w:rPr>
          <w:rFonts w:eastAsia="Arial" w:cs="Times New Roman"/>
        </w:rPr>
        <w:t>setpoint</w:t>
      </w:r>
      <w:proofErr w:type="spellEnd"/>
      <w:r w:rsidRPr="007B5802">
        <w:rPr>
          <w:rFonts w:eastAsia="Arial" w:cs="Times New Roman"/>
        </w:rPr>
        <w:t xml:space="preserve"> for </w:t>
      </w:r>
      <w:proofErr w:type="spellStart"/>
      <w:r w:rsidR="00E2411D">
        <w:rPr>
          <w:rFonts w:eastAsia="Arial" w:cs="Times New Roman"/>
        </w:rPr>
        <w:t>Homeostatically</w:t>
      </w:r>
      <w:proofErr w:type="spellEnd"/>
      <w:r w:rsidR="00E2411D">
        <w:rPr>
          <w:rFonts w:eastAsia="Arial" w:cs="Times New Roman"/>
        </w:rPr>
        <w:t xml:space="preserve"> Protected Mood (</w:t>
      </w:r>
      <w:r w:rsidRPr="007B5802">
        <w:rPr>
          <w:rFonts w:eastAsia="Arial" w:cs="Times New Roman"/>
        </w:rPr>
        <w:t>HPMood</w:t>
      </w:r>
      <w:r w:rsidR="00E2411D">
        <w:rPr>
          <w:rFonts w:eastAsia="Arial" w:cs="Times New Roman"/>
        </w:rPr>
        <w:t>), which is the major component of GLS [the other component is emotion, which causes the level of measured GLS to move up or down]</w:t>
      </w:r>
      <w:r w:rsidRPr="007B5802">
        <w:rPr>
          <w:rFonts w:eastAsia="Arial" w:cs="Times New Roman"/>
        </w:rPr>
        <w:t xml:space="preserve">. </w:t>
      </w:r>
      <w:r w:rsidR="004A1A95">
        <w:rPr>
          <w:rFonts w:eastAsia="Arial" w:cs="Times New Roman"/>
        </w:rPr>
        <w:t>The</w:t>
      </w:r>
      <w:r w:rsidR="00E2411D">
        <w:rPr>
          <w:rFonts w:eastAsia="Arial" w:cs="Times New Roman"/>
        </w:rPr>
        <w:t xml:space="preserve"> </w:t>
      </w:r>
      <w:r w:rsidRPr="007B5802">
        <w:rPr>
          <w:rFonts w:eastAsia="Arial" w:cs="Times New Roman"/>
        </w:rPr>
        <w:t xml:space="preserve">distribution of </w:t>
      </w:r>
      <w:r w:rsidR="004A1A95">
        <w:rPr>
          <w:rFonts w:eastAsia="Arial" w:cs="Times New Roman"/>
        </w:rPr>
        <w:t xml:space="preserve">these </w:t>
      </w:r>
      <w:proofErr w:type="spellStart"/>
      <w:r w:rsidR="004A1A95">
        <w:rPr>
          <w:rFonts w:eastAsia="Arial" w:cs="Times New Roman"/>
        </w:rPr>
        <w:t>set</w:t>
      </w:r>
      <w:r w:rsidRPr="007B5802">
        <w:rPr>
          <w:rFonts w:eastAsia="Arial" w:cs="Times New Roman"/>
        </w:rPr>
        <w:t>points</w:t>
      </w:r>
      <w:proofErr w:type="spellEnd"/>
      <w:r w:rsidR="00E2411D">
        <w:rPr>
          <w:rFonts w:eastAsia="Arial" w:cs="Times New Roman"/>
        </w:rPr>
        <w:t xml:space="preserve"> within the population is statistically normal</w:t>
      </w:r>
      <w:r w:rsidRPr="007B5802">
        <w:rPr>
          <w:rFonts w:eastAsia="Arial" w:cs="Times New Roman"/>
        </w:rPr>
        <w:t>. This ‘</w:t>
      </w:r>
      <w:proofErr w:type="spellStart"/>
      <w:r w:rsidRPr="007B5802">
        <w:rPr>
          <w:rFonts w:eastAsia="Arial" w:cs="Times New Roman"/>
        </w:rPr>
        <w:t>setpoint</w:t>
      </w:r>
      <w:proofErr w:type="spellEnd"/>
      <w:r w:rsidRPr="007B5802">
        <w:rPr>
          <w:rFonts w:eastAsia="Arial" w:cs="Times New Roman"/>
        </w:rPr>
        <w:t xml:space="preserve"> distribution’ ranges over 70-90 percentage points, measured on a 0-100 point scale. Both the </w:t>
      </w:r>
      <w:proofErr w:type="spellStart"/>
      <w:r w:rsidRPr="007B5802">
        <w:rPr>
          <w:rFonts w:eastAsia="Arial" w:cs="Times New Roman"/>
        </w:rPr>
        <w:t>setpoint</w:t>
      </w:r>
      <w:proofErr w:type="spellEnd"/>
      <w:r w:rsidRPr="007B5802">
        <w:rPr>
          <w:rFonts w:eastAsia="Arial" w:cs="Times New Roman"/>
        </w:rPr>
        <w:t xml:space="preserve"> distribution range, and the level of each individual </w:t>
      </w:r>
      <w:proofErr w:type="spellStart"/>
      <w:r w:rsidRPr="007B5802">
        <w:rPr>
          <w:rFonts w:eastAsia="Arial" w:cs="Times New Roman"/>
        </w:rPr>
        <w:t>setpoint</w:t>
      </w:r>
      <w:proofErr w:type="spellEnd"/>
      <w:r w:rsidRPr="007B5802">
        <w:rPr>
          <w:rFonts w:eastAsia="Arial" w:cs="Times New Roman"/>
        </w:rPr>
        <w:t xml:space="preserve">, is assumed to be under genetic control, and so not to change. </w:t>
      </w:r>
    </w:p>
    <w:p w:rsidR="007B5802" w:rsidRPr="007B5802" w:rsidRDefault="007B5802" w:rsidP="007B5802">
      <w:pPr>
        <w:rPr>
          <w:rFonts w:eastAsia="Arial" w:cs="Times New Roman"/>
        </w:rPr>
      </w:pPr>
    </w:p>
    <w:p w:rsidR="004C5D20" w:rsidRDefault="007B5802" w:rsidP="007B5802">
      <w:pPr>
        <w:rPr>
          <w:rFonts w:eastAsia="Arial" w:cs="Times New Roman"/>
        </w:rPr>
      </w:pPr>
      <w:r w:rsidRPr="007B5802">
        <w:rPr>
          <w:rFonts w:eastAsia="Arial" w:cs="Times New Roman"/>
        </w:rPr>
        <w:t xml:space="preserve">(b) Each individual </w:t>
      </w:r>
      <w:proofErr w:type="spellStart"/>
      <w:r w:rsidRPr="007B5802">
        <w:rPr>
          <w:rFonts w:eastAsia="Arial" w:cs="Times New Roman"/>
        </w:rPr>
        <w:t>setpoint</w:t>
      </w:r>
      <w:proofErr w:type="spellEnd"/>
      <w:r w:rsidRPr="007B5802">
        <w:rPr>
          <w:rFonts w:eastAsia="Arial" w:cs="Times New Roman"/>
        </w:rPr>
        <w:t xml:space="preserve"> has its own operational range, within which homeostasis acts to maintain</w:t>
      </w:r>
      <w:r w:rsidR="00E2266C">
        <w:rPr>
          <w:rFonts w:eastAsia="Arial" w:cs="Times New Roman"/>
        </w:rPr>
        <w:t xml:space="preserve"> the level of</w:t>
      </w:r>
      <w:r w:rsidRPr="007B5802">
        <w:rPr>
          <w:rFonts w:eastAsia="Arial" w:cs="Times New Roman"/>
        </w:rPr>
        <w:t xml:space="preserve"> </w:t>
      </w:r>
      <w:r w:rsidR="00E2266C">
        <w:rPr>
          <w:rFonts w:eastAsia="Arial" w:cs="Times New Roman"/>
        </w:rPr>
        <w:t xml:space="preserve">chronically </w:t>
      </w:r>
      <w:r w:rsidRPr="007B5802">
        <w:rPr>
          <w:rFonts w:eastAsia="Arial" w:cs="Times New Roman"/>
        </w:rPr>
        <w:t>experienced affect. The extent of this ‘</w:t>
      </w:r>
      <w:proofErr w:type="spellStart"/>
      <w:r w:rsidRPr="007B5802">
        <w:rPr>
          <w:rFonts w:eastAsia="Arial" w:cs="Times New Roman"/>
        </w:rPr>
        <w:t>setpoint</w:t>
      </w:r>
      <w:proofErr w:type="spellEnd"/>
      <w:r w:rsidRPr="007B5802">
        <w:rPr>
          <w:rFonts w:eastAsia="Arial" w:cs="Times New Roman"/>
        </w:rPr>
        <w:t xml:space="preserve"> operational range’ has been estimated as about 8-percentage points on either side of each </w:t>
      </w:r>
      <w:proofErr w:type="spellStart"/>
      <w:r w:rsidRPr="007B5802">
        <w:rPr>
          <w:rFonts w:eastAsia="Arial" w:cs="Times New Roman"/>
        </w:rPr>
        <w:t>setpoint</w:t>
      </w:r>
      <w:proofErr w:type="spellEnd"/>
      <w:r w:rsidRPr="007B5802">
        <w:rPr>
          <w:rFonts w:eastAsia="Arial" w:cs="Times New Roman"/>
        </w:rPr>
        <w:t xml:space="preserve"> </w:t>
      </w:r>
      <w:r w:rsidRPr="007B5802">
        <w:rPr>
          <w:rFonts w:eastAsia="Arial" w:cs="Times New Roman"/>
        </w:rPr>
        <w:fldChar w:fldCharType="begin"/>
      </w:r>
      <w:r w:rsidRPr="007B5802">
        <w:rPr>
          <w:rFonts w:eastAsia="Arial" w:cs="Times New Roman"/>
        </w:rPr>
        <w:instrText xml:space="preserve"> ADDIN EN.CITE &lt;EndNote&gt;&lt;Cite&gt;&lt;Author&gt;Capic&lt;/Author&gt;&lt;Year&gt;2018&lt;/Year&gt;&lt;RecNum&gt;3195&lt;/RecNum&gt;&lt;DisplayText&gt;(Capic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sidRPr="007B5802">
        <w:rPr>
          <w:rFonts w:eastAsia="Arial" w:cs="Times New Roman"/>
        </w:rPr>
        <w:fldChar w:fldCharType="separate"/>
      </w:r>
      <w:r w:rsidRPr="007B5802">
        <w:rPr>
          <w:rFonts w:eastAsia="Arial" w:cs="Times New Roman"/>
        </w:rPr>
        <w:t>(</w:t>
      </w:r>
      <w:proofErr w:type="spellStart"/>
      <w:r w:rsidRPr="007B5802">
        <w:rPr>
          <w:rFonts w:eastAsia="Arial" w:cs="Times New Roman"/>
        </w:rPr>
        <w:t>Capic</w:t>
      </w:r>
      <w:proofErr w:type="spellEnd"/>
      <w:r w:rsidRPr="007B5802">
        <w:rPr>
          <w:rFonts w:eastAsia="Arial" w:cs="Times New Roman"/>
        </w:rPr>
        <w:t xml:space="preserve"> et al., 2018)</w:t>
      </w:r>
      <w:r w:rsidRPr="007B5802">
        <w:rPr>
          <w:rFonts w:eastAsia="Arial" w:cs="Times New Roman"/>
        </w:rPr>
        <w:fldChar w:fldCharType="end"/>
      </w:r>
      <w:r w:rsidRPr="007B5802">
        <w:rPr>
          <w:rFonts w:eastAsia="Arial" w:cs="Times New Roman"/>
        </w:rPr>
        <w:t>. The measured value of GLS at any moment will</w:t>
      </w:r>
      <w:r w:rsidR="00E2266C">
        <w:rPr>
          <w:rFonts w:eastAsia="Arial" w:cs="Times New Roman"/>
        </w:rPr>
        <w:t xml:space="preserve"> normally lie within this range.</w:t>
      </w:r>
      <w:r w:rsidRPr="007B5802">
        <w:rPr>
          <w:rFonts w:eastAsia="Arial" w:cs="Times New Roman"/>
        </w:rPr>
        <w:t xml:space="preserve"> </w:t>
      </w:r>
      <w:r w:rsidR="00E2266C">
        <w:rPr>
          <w:rFonts w:eastAsia="Arial" w:cs="Times New Roman"/>
        </w:rPr>
        <w:t>Variation in the level of GLS is</w:t>
      </w:r>
      <w:r w:rsidRPr="007B5802">
        <w:rPr>
          <w:rFonts w:eastAsia="Arial" w:cs="Times New Roman"/>
        </w:rPr>
        <w:t xml:space="preserve"> driven by the </w:t>
      </w:r>
      <w:r w:rsidR="00E2266C">
        <w:rPr>
          <w:rFonts w:eastAsia="Arial" w:cs="Times New Roman"/>
        </w:rPr>
        <w:t>strength and type</w:t>
      </w:r>
      <w:r w:rsidRPr="007B5802">
        <w:rPr>
          <w:rFonts w:eastAsia="Arial" w:cs="Times New Roman"/>
        </w:rPr>
        <w:t xml:space="preserve"> of emotion being experienced. </w:t>
      </w:r>
      <w:r w:rsidR="004C5D20">
        <w:rPr>
          <w:rFonts w:eastAsia="Arial" w:cs="Times New Roman"/>
        </w:rPr>
        <w:t xml:space="preserve">Moreover, a positive life event such as marriage will likely make the experience of positive emotion more likely that it was when the two people were single. This will cause </w:t>
      </w:r>
      <w:r w:rsidR="004C5D20">
        <w:rPr>
          <w:rFonts w:eastAsia="Arial" w:cs="Times New Roman"/>
        </w:rPr>
        <w:lastRenderedPageBreak/>
        <w:t xml:space="preserve">GLS to be generally higher after marriage, but still constrained to lie within its </w:t>
      </w:r>
      <w:proofErr w:type="spellStart"/>
      <w:r w:rsidR="004C5D20">
        <w:rPr>
          <w:rFonts w:eastAsia="Arial" w:cs="Times New Roman"/>
        </w:rPr>
        <w:t>setpoint</w:t>
      </w:r>
      <w:proofErr w:type="spellEnd"/>
      <w:r w:rsidR="004C5D20">
        <w:rPr>
          <w:rFonts w:eastAsia="Arial" w:cs="Times New Roman"/>
        </w:rPr>
        <w:t xml:space="preserve"> operational range. So, even though the level of GLS can be demonstrated to be higher, it will only be so by a few percentage points.</w:t>
      </w:r>
      <w:r w:rsidR="00890DD6">
        <w:rPr>
          <w:rFonts w:eastAsia="Arial" w:cs="Times New Roman"/>
        </w:rPr>
        <w:t xml:space="preserve"> Notably, changes in measured levels of GLS are the result of changes in emotion, not changes in the </w:t>
      </w:r>
      <w:proofErr w:type="spellStart"/>
      <w:r w:rsidR="00890DD6">
        <w:rPr>
          <w:rFonts w:eastAsia="Arial" w:cs="Times New Roman"/>
        </w:rPr>
        <w:t>setpoint</w:t>
      </w:r>
      <w:proofErr w:type="spellEnd"/>
      <w:r w:rsidR="00890DD6">
        <w:rPr>
          <w:rFonts w:eastAsia="Arial" w:cs="Times New Roman"/>
        </w:rPr>
        <w:t>.</w:t>
      </w:r>
    </w:p>
    <w:p w:rsidR="007B5802" w:rsidRPr="007B5802" w:rsidRDefault="007B5802" w:rsidP="007B5802">
      <w:pPr>
        <w:rPr>
          <w:rFonts w:eastAsia="Arial" w:cs="Times New Roman"/>
        </w:rPr>
      </w:pPr>
    </w:p>
    <w:p w:rsidR="007B5802" w:rsidRPr="007B5802" w:rsidRDefault="004A1A95" w:rsidP="007B5802">
      <w:pPr>
        <w:rPr>
          <w:rFonts w:eastAsia="Arial" w:cs="Times New Roman"/>
        </w:rPr>
      </w:pPr>
      <w:r>
        <w:rPr>
          <w:rFonts w:eastAsia="Arial" w:cs="Times New Roman"/>
        </w:rPr>
        <w:t>In this context,</w:t>
      </w:r>
      <w:r w:rsidR="00890DD6">
        <w:rPr>
          <w:rFonts w:eastAsia="Arial" w:cs="Times New Roman"/>
        </w:rPr>
        <w:t xml:space="preserve"> the</w:t>
      </w:r>
      <w:r>
        <w:rPr>
          <w:rFonts w:eastAsia="Arial" w:cs="Times New Roman"/>
        </w:rPr>
        <w:t xml:space="preserve"> authors’ use</w:t>
      </w:r>
      <w:r w:rsidR="007B5802" w:rsidRPr="007B5802">
        <w:rPr>
          <w:rFonts w:eastAsia="Arial" w:cs="Times New Roman"/>
        </w:rPr>
        <w:t xml:space="preserve"> of ‘</w:t>
      </w:r>
      <w:proofErr w:type="spellStart"/>
      <w:r w:rsidR="007B5802" w:rsidRPr="007B5802">
        <w:rPr>
          <w:rFonts w:eastAsia="Arial" w:cs="Times New Roman"/>
        </w:rPr>
        <w:t>setpoint</w:t>
      </w:r>
      <w:proofErr w:type="spellEnd"/>
      <w:r w:rsidR="007B5802" w:rsidRPr="007B5802">
        <w:rPr>
          <w:rFonts w:eastAsia="Arial" w:cs="Times New Roman"/>
        </w:rPr>
        <w:t>’</w:t>
      </w:r>
      <w:r>
        <w:rPr>
          <w:rFonts w:eastAsia="Arial" w:cs="Times New Roman"/>
        </w:rPr>
        <w:t>, and their conclusions regarding its stability,</w:t>
      </w:r>
      <w:r w:rsidR="007B5802" w:rsidRPr="007B5802">
        <w:rPr>
          <w:rFonts w:eastAsia="Arial" w:cs="Times New Roman"/>
        </w:rPr>
        <w:t xml:space="preserve"> </w:t>
      </w:r>
      <w:r>
        <w:rPr>
          <w:rFonts w:eastAsia="Arial" w:cs="Times New Roman"/>
        </w:rPr>
        <w:t>are challenged.</w:t>
      </w:r>
    </w:p>
    <w:p w:rsidR="00F3120B" w:rsidRPr="00BB5D46" w:rsidRDefault="00F3120B" w:rsidP="007B5802">
      <w:pPr>
        <w:rPr>
          <w:rFonts w:eastAsia="Arial" w:cs="Times New Roman"/>
          <w:b/>
        </w:rPr>
      </w:pPr>
    </w:p>
    <w:p w:rsidR="00F3120B" w:rsidRPr="00BB5D46" w:rsidRDefault="00F3120B" w:rsidP="00F3120B">
      <w:pPr>
        <w:rPr>
          <w:rFonts w:eastAsia="Arial" w:cs="Times New Roman"/>
          <w:sz w:val="22"/>
          <w:szCs w:val="22"/>
        </w:rPr>
      </w:pPr>
      <w:r w:rsidRPr="00BB5D46">
        <w:rPr>
          <w:rFonts w:eastAsia="Arial" w:cs="Times New Roman"/>
          <w:b/>
        </w:rPr>
        <w:t xml:space="preserve">Reference: </w:t>
      </w:r>
      <w:r w:rsidR="007B5802" w:rsidRPr="00EC6127">
        <w:t>Grover, S., &amp; Helliwell, J. F. (2019). How’s life at home? New evidence on marriage and the set point for happiness. Journal of Happiness Studies, 20(2), 373-390.</w:t>
      </w:r>
    </w:p>
    <w:p w:rsidR="004A1A95" w:rsidRDefault="004A1A95" w:rsidP="00CF028D">
      <w:pPr>
        <w:rPr>
          <w:rFonts w:eastAsia="Arial" w:cs="Times New Roman"/>
          <w:b/>
        </w:rPr>
      </w:pPr>
    </w:p>
    <w:p w:rsidR="00F3120B" w:rsidRDefault="00F3120B" w:rsidP="00CF028D">
      <w:pPr>
        <w:rPr>
          <w:rFonts w:eastAsia="Arial" w:cs="Times New Roman"/>
        </w:rPr>
      </w:pPr>
      <w:r w:rsidRPr="00BB5D46">
        <w:rPr>
          <w:rFonts w:eastAsia="Arial" w:cs="Times New Roman"/>
          <w:b/>
        </w:rPr>
        <w:t>Author’s summary:</w:t>
      </w:r>
      <w:r w:rsidRPr="00BB5D46">
        <w:rPr>
          <w:rFonts w:eastAsia="Arial" w:cs="Times New Roman"/>
        </w:rPr>
        <w:t xml:space="preserve"> </w:t>
      </w:r>
      <w:r w:rsidR="00CF028D" w:rsidRPr="00CF028D">
        <w:rPr>
          <w:rFonts w:eastAsia="Arial" w:cs="Times New Roman"/>
        </w:rPr>
        <w:t xml:space="preserve">Using </w:t>
      </w:r>
      <w:r w:rsidR="00CF028D">
        <w:rPr>
          <w:rFonts w:eastAsia="Arial" w:cs="Times New Roman"/>
        </w:rPr>
        <w:t xml:space="preserve"> [British] data …</w:t>
      </w:r>
      <w:r w:rsidR="00CF028D" w:rsidRPr="00CF028D">
        <w:rPr>
          <w:rFonts w:eastAsia="Arial" w:cs="Times New Roman"/>
        </w:rPr>
        <w:t xml:space="preserve"> we control individual pre-marital well-being levels and find that the married</w:t>
      </w:r>
      <w:r w:rsidR="00CF028D">
        <w:rPr>
          <w:rFonts w:eastAsia="Arial" w:cs="Times New Roman"/>
        </w:rPr>
        <w:t xml:space="preserve"> </w:t>
      </w:r>
      <w:r w:rsidR="00CF028D" w:rsidRPr="00CF028D">
        <w:rPr>
          <w:rFonts w:eastAsia="Arial" w:cs="Times New Roman"/>
        </w:rPr>
        <w:t>are still more satisfied</w:t>
      </w:r>
      <w:r w:rsidR="00CF028D">
        <w:rPr>
          <w:rFonts w:eastAsia="Arial" w:cs="Times New Roman"/>
        </w:rPr>
        <w:t xml:space="preserve"> [GLS]</w:t>
      </w:r>
      <w:r w:rsidR="00CF028D" w:rsidRPr="00CF028D">
        <w:rPr>
          <w:rFonts w:eastAsia="Arial" w:cs="Times New Roman"/>
        </w:rPr>
        <w:t xml:space="preserve">, suggesting a causal effect at all stages of the marriage, from </w:t>
      </w:r>
      <w:proofErr w:type="spellStart"/>
      <w:r w:rsidR="00CF028D" w:rsidRPr="00CF028D">
        <w:rPr>
          <w:rFonts w:eastAsia="Arial" w:cs="Times New Roman"/>
        </w:rPr>
        <w:t>prenuptual</w:t>
      </w:r>
      <w:proofErr w:type="spellEnd"/>
      <w:r w:rsidR="00CF028D">
        <w:rPr>
          <w:rFonts w:eastAsia="Arial" w:cs="Times New Roman"/>
        </w:rPr>
        <w:t xml:space="preserve"> </w:t>
      </w:r>
      <w:r w:rsidR="00CF028D" w:rsidRPr="00CF028D">
        <w:rPr>
          <w:rFonts w:eastAsia="Arial" w:cs="Times New Roman"/>
        </w:rPr>
        <w:t>bliss to marriages of long-duration</w:t>
      </w:r>
      <w:r w:rsidR="00CF028D">
        <w:rPr>
          <w:rFonts w:eastAsia="Arial" w:cs="Times New Roman"/>
        </w:rPr>
        <w:t xml:space="preserve"> … </w:t>
      </w:r>
      <w:r w:rsidR="00CF028D" w:rsidRPr="00CF028D">
        <w:rPr>
          <w:rFonts w:eastAsia="Arial" w:cs="Times New Roman"/>
        </w:rPr>
        <w:t>we</w:t>
      </w:r>
      <w:r w:rsidR="00CF028D">
        <w:rPr>
          <w:rFonts w:eastAsia="Arial" w:cs="Times New Roman"/>
        </w:rPr>
        <w:t xml:space="preserve"> [also]</w:t>
      </w:r>
      <w:r w:rsidR="00CF028D" w:rsidRPr="00CF028D">
        <w:rPr>
          <w:rFonts w:eastAsia="Arial" w:cs="Times New Roman"/>
        </w:rPr>
        <w:t xml:space="preserve"> find that the married have a less deep U-shape in life</w:t>
      </w:r>
      <w:r w:rsidR="00CF028D">
        <w:rPr>
          <w:rFonts w:eastAsia="Arial" w:cs="Times New Roman"/>
        </w:rPr>
        <w:t xml:space="preserve"> </w:t>
      </w:r>
      <w:r w:rsidR="00CF028D" w:rsidRPr="00CF028D">
        <w:rPr>
          <w:rFonts w:eastAsia="Arial" w:cs="Times New Roman"/>
        </w:rPr>
        <w:t>satisfaction across age groups than do the unmarried, indicating that marriage may help</w:t>
      </w:r>
      <w:r w:rsidR="00CF028D">
        <w:rPr>
          <w:rFonts w:eastAsia="Arial" w:cs="Times New Roman"/>
        </w:rPr>
        <w:t xml:space="preserve"> </w:t>
      </w:r>
      <w:r w:rsidR="00CF028D" w:rsidRPr="00CF028D">
        <w:rPr>
          <w:rFonts w:eastAsia="Arial" w:cs="Times New Roman"/>
        </w:rPr>
        <w:t>ease the causes of the mid-life dip in life satisfaction and that the benefits of marriage are</w:t>
      </w:r>
      <w:r w:rsidR="00CF028D">
        <w:rPr>
          <w:rFonts w:eastAsia="Arial" w:cs="Times New Roman"/>
        </w:rPr>
        <w:t xml:space="preserve"> </w:t>
      </w:r>
      <w:r w:rsidR="00CF028D" w:rsidRPr="00CF028D">
        <w:rPr>
          <w:rFonts w:eastAsia="Arial" w:cs="Times New Roman"/>
        </w:rPr>
        <w:t>unlikely to be short-lived. We explore friendship as a mechanism which could help explain</w:t>
      </w:r>
      <w:r w:rsidR="00CF028D">
        <w:rPr>
          <w:rFonts w:eastAsia="Arial" w:cs="Times New Roman"/>
        </w:rPr>
        <w:t xml:space="preserve"> </w:t>
      </w:r>
      <w:r w:rsidR="00CF028D" w:rsidRPr="00CF028D">
        <w:rPr>
          <w:rFonts w:eastAsia="Arial" w:cs="Times New Roman"/>
        </w:rPr>
        <w:t xml:space="preserve">a causal relationship between marriage and life </w:t>
      </w:r>
      <w:proofErr w:type="gramStart"/>
      <w:r w:rsidR="00CF028D" w:rsidRPr="00CF028D">
        <w:rPr>
          <w:rFonts w:eastAsia="Arial" w:cs="Times New Roman"/>
        </w:rPr>
        <w:t>satisfaction, and</w:t>
      </w:r>
      <w:proofErr w:type="gramEnd"/>
      <w:r w:rsidR="00CF028D" w:rsidRPr="00CF028D">
        <w:rPr>
          <w:rFonts w:eastAsia="Arial" w:cs="Times New Roman"/>
        </w:rPr>
        <w:t xml:space="preserve"> find that well-being effects</w:t>
      </w:r>
      <w:r w:rsidR="00CF028D">
        <w:rPr>
          <w:rFonts w:eastAsia="Arial" w:cs="Times New Roman"/>
        </w:rPr>
        <w:t xml:space="preserve"> </w:t>
      </w:r>
      <w:r w:rsidR="00CF028D" w:rsidRPr="00CF028D">
        <w:rPr>
          <w:rFonts w:eastAsia="Arial" w:cs="Times New Roman"/>
        </w:rPr>
        <w:t>of marriage are about twice as large for those whose spouse is also their best friend.</w:t>
      </w:r>
    </w:p>
    <w:p w:rsidR="00CF028D" w:rsidRPr="00BB5D46" w:rsidRDefault="00CF028D" w:rsidP="00CF028D">
      <w:pPr>
        <w:rPr>
          <w:rFonts w:eastAsia="Arial" w:cs="Times New Roman"/>
        </w:rPr>
      </w:pPr>
    </w:p>
    <w:p w:rsidR="00F3120B" w:rsidRPr="00BB5D46" w:rsidRDefault="00F3120B" w:rsidP="00F3120B">
      <w:pPr>
        <w:rPr>
          <w:rFonts w:eastAsia="Times New Roman" w:cs="Times New Roman"/>
          <w:sz w:val="22"/>
          <w:szCs w:val="22"/>
          <w:lang w:val="en-US"/>
        </w:rPr>
      </w:pPr>
      <w:r w:rsidRPr="00BB5D46">
        <w:rPr>
          <w:rFonts w:eastAsia="Arial" w:cs="Times New Roman"/>
          <w:b/>
        </w:rPr>
        <w:t xml:space="preserve">Comment on </w:t>
      </w:r>
      <w:r w:rsidR="007B5802">
        <w:rPr>
          <w:rFonts w:eastAsia="Times New Roman" w:cs="Times New Roman"/>
          <w:b/>
          <w:lang w:val="en-US"/>
        </w:rPr>
        <w:t>Grover &amp; Helliwell (2019)</w:t>
      </w:r>
    </w:p>
    <w:p w:rsidR="007B5802" w:rsidRDefault="00CF028D" w:rsidP="007B5802">
      <w:r>
        <w:t xml:space="preserve">It is notable that, despite ‘set-point’ being a feature of their </w:t>
      </w:r>
      <w:r w:rsidR="004940E5">
        <w:t xml:space="preserve">paper’s </w:t>
      </w:r>
      <w:r>
        <w:t xml:space="preserve">title, </w:t>
      </w:r>
      <w:r w:rsidR="004940E5">
        <w:t>it does not rate a mention in their abstract. An</w:t>
      </w:r>
      <w:r w:rsidR="007B5802">
        <w:t xml:space="preserve"> examination of </w:t>
      </w:r>
      <w:r w:rsidR="004940E5">
        <w:t>what their paper does say about ‘set-</w:t>
      </w:r>
      <w:r w:rsidR="007B5802">
        <w:t>points’</w:t>
      </w:r>
      <w:r w:rsidR="004940E5">
        <w:t xml:space="preserve"> follows:</w:t>
      </w:r>
      <w:r w:rsidR="007B5802">
        <w:t xml:space="preserve"> </w:t>
      </w:r>
    </w:p>
    <w:p w:rsidR="007B5802" w:rsidRPr="000C5CAF" w:rsidRDefault="007B5802" w:rsidP="007B5802"/>
    <w:p w:rsidR="007B5802" w:rsidRPr="00713545" w:rsidRDefault="007B5802" w:rsidP="007B5802">
      <w:r w:rsidRPr="00713545">
        <w:t>1. “The existence of high levels of adaptation, or reversion to fixed life satisfaction set</w:t>
      </w:r>
    </w:p>
    <w:p w:rsidR="007B5802" w:rsidRPr="00713545" w:rsidRDefault="007B5802" w:rsidP="007B5802">
      <w:r w:rsidRPr="00713545">
        <w:t xml:space="preserve">points determined by genetics or other stable personality traits </w:t>
      </w:r>
      <w:r w:rsidRPr="00713545">
        <w:fldChar w:fldCharType="begin"/>
      </w:r>
      <w:r w:rsidRPr="00713545">
        <w:instrText xml:space="preserve"> ADDIN EN.CITE &lt;EndNote&gt;&lt;Cite&gt;&lt;Author&gt;Brickman&lt;/Author&gt;&lt;Year&gt;1971&lt;/Year&gt;&lt;RecNum&gt;770&lt;/RecNum&gt;&lt;DisplayText&gt;(Brickman &amp;amp; Campbell, 1971)&lt;/DisplayText&gt;&lt;record&gt;&lt;rec-number&gt;770&lt;/rec-number&gt;&lt;foreign-keys&gt;&lt;key app="EN" db-id="z2xarpe9cfrvp4ezdxk5ddx9dsrzr05f22sa" timestamp="1348116366"&gt;770&lt;/key&gt;&lt;/foreign-keys&gt;&lt;ref-type name="Book Section"&gt;5&lt;/ref-type&gt;&lt;contributors&gt;&lt;authors&gt;&lt;author&gt;Brickman, P.&lt;/author&gt;&lt;author&gt;Campbell, D. T.&lt;/author&gt;&lt;/authors&gt;&lt;secondary-authors&gt;&lt;author&gt;Appley, M. H.&lt;/author&gt;&lt;/secondary-authors&gt;&lt;/contributors&gt;&lt;titles&gt;&lt;title&gt;Hedonic relativism and planning the good society&lt;/title&gt;&lt;secondary-title&gt;Adaptation-level theory: A symposium&lt;/secondary-title&gt;&lt;/titles&gt;&lt;pages&gt;287-302&lt;/pages&gt;&lt;dates&gt;&lt;year&gt;1971&lt;/year&gt;&lt;/dates&gt;&lt;pub-location&gt;New York&lt;/pub-location&gt;&lt;publisher&gt;Academic Press&lt;/publisher&gt;&lt;urls&gt;&lt;/urls&gt;&lt;/record&gt;&lt;/Cite&gt;&lt;/EndNote&gt;</w:instrText>
      </w:r>
      <w:r w:rsidRPr="00713545">
        <w:fldChar w:fldCharType="separate"/>
      </w:r>
      <w:r w:rsidRPr="00713545">
        <w:t>(Brickman &amp; Campbell, 1971)</w:t>
      </w:r>
      <w:r w:rsidRPr="00713545">
        <w:fldChar w:fldCharType="end"/>
      </w:r>
    </w:p>
    <w:p w:rsidR="004940E5" w:rsidRDefault="007B5802" w:rsidP="007B5802">
      <w:r w:rsidRPr="00713545">
        <w:t xml:space="preserve">… would lead to smaller cross-sectional as well as panel estimates [of GLS], since for each individual there would be only a few happy post-marriage years before return to the set point” </w:t>
      </w:r>
      <w:r w:rsidRPr="00713545">
        <w:fldChar w:fldCharType="begin"/>
      </w:r>
      <w:r w:rsidRPr="00713545">
        <w:instrText xml:space="preserve"> ADDIN EN.CITE &lt;EndNote&gt;&lt;Cite&gt;&lt;Author&gt;Lucas&lt;/Author&gt;&lt;Year&gt;2007&lt;/Year&gt;&lt;RecNum&gt;689&lt;/RecNum&gt;&lt;DisplayText&gt;(Lucas, 2007; Suh, Diener, &amp;amp; Frujita, 1996)&lt;/DisplayText&gt;&lt;record&gt;&lt;rec-number&gt;689&lt;/rec-number&gt;&lt;foreign-keys&gt;&lt;key app="EN" db-id="z2xarpe9cfrvp4ezdxk5ddx9dsrzr05f22sa" timestamp="1343947790"&gt;689&lt;/key&gt;&lt;/foreign-keys&gt;&lt;ref-type name="Journal Article"&gt;17&lt;/ref-type&gt;&lt;contributors&gt;&lt;authors&gt;&lt;author&gt;Lucas, R. E.&lt;/author&gt;&lt;/authors&gt;&lt;/contributors&gt;&lt;titles&gt;&lt;title&gt;Adaptation and the set-point model of Subjective Well-Being: Does happiness change after major life events?&lt;/title&gt;&lt;secondary-title&gt;Current Directions in Psychological Science&lt;/secondary-title&gt;&lt;/titles&gt;&lt;periodical&gt;&lt;full-title&gt;Current Directions in Psychological Science&lt;/full-title&gt;&lt;/periodical&gt;&lt;pages&gt;75-79&lt;/pages&gt;&lt;volume&gt;16&lt;/volume&gt;&lt;dates&gt;&lt;year&gt;2007&lt;/year&gt;&lt;/dates&gt;&lt;urls&gt;&lt;/urls&gt;&lt;/record&gt;&lt;/Cite&gt;&lt;Cite&gt;&lt;Author&gt;Suh&lt;/Author&gt;&lt;Year&gt;1996&lt;/Year&gt;&lt;RecNum&gt;2144&lt;/RecNum&gt;&lt;record&gt;&lt;rec-number&gt;2144&lt;/rec-number&gt;&lt;foreign-keys&gt;&lt;key app="EN" db-id="z2xarpe9cfrvp4ezdxk5ddx9dsrzr05f22sa" timestamp="1437987144"&gt;2144&lt;/key&gt;&lt;/foreign-keys&gt;&lt;ref-type name="Journal Article"&gt;17&lt;/ref-type&gt;&lt;contributors&gt;&lt;authors&gt;&lt;author&gt;Suh, E.&lt;/author&gt;&lt;author&gt;Diener, E.&lt;/author&gt;&lt;author&gt;Frujita, F.&lt;/author&gt;&lt;/authors&gt;&lt;/contributors&gt;&lt;titles&gt;&lt;title&gt;Events and subjective well-being: Only recent events matter&lt;/title&gt;&lt;secondary-title&gt;Journal of Personality and Social Psychology&lt;/secondary-title&gt;&lt;/titles&gt;&lt;periodical&gt;&lt;full-title&gt;Journal of Personality and Social Psychology&lt;/full-title&gt;&lt;/periodical&gt;&lt;pages&gt;1091-1102&lt;/pages&gt;&lt;volume&gt;70&lt;/volume&gt;&lt;number&gt;5&lt;/number&gt;&lt;dates&gt;&lt;year&gt;1996&lt;/year&gt;&lt;/dates&gt;&lt;urls&gt;&lt;/urls&gt;&lt;electronic-resource-num&gt;10.1037//0022-3514.70.5.1091&lt;/electronic-resource-num&gt;&lt;/record&gt;&lt;/Cite&gt;&lt;/EndNote&gt;</w:instrText>
      </w:r>
      <w:r w:rsidRPr="00713545">
        <w:fldChar w:fldCharType="separate"/>
      </w:r>
      <w:r w:rsidRPr="00713545">
        <w:t>(Lucas, 2007; Suh, Diener, &amp; Frujita, 1996)</w:t>
      </w:r>
      <w:r w:rsidRPr="00713545">
        <w:fldChar w:fldCharType="end"/>
      </w:r>
      <w:r w:rsidRPr="00713545">
        <w:t xml:space="preserve">” </w:t>
      </w:r>
      <w:r w:rsidR="004940E5">
        <w:fldChar w:fldCharType="begin"/>
      </w:r>
      <w:r w:rsidR="004940E5">
        <w:instrText xml:space="preserve"> ADDIN EN.CITE &lt;EndNote&gt;&lt;Cite&gt;&lt;Author&gt;Grover&lt;/Author&gt;&lt;Year&gt;2019&lt;/Year&gt;&lt;RecNum&gt;3888&lt;/RecNum&gt;&lt;Pages&gt;374&lt;/Pages&gt;&lt;DisplayText&gt;(Grover &amp;amp; Helliwell, 2019, p. 374)&lt;/DisplayText&gt;&lt;record&gt;&lt;rec-number&gt;3888&lt;/rec-number&gt;&lt;foreign-keys&gt;&lt;key app="EN" db-id="z2xarpe9cfrvp4ezdxk5ddx9dsrzr05f22sa" timestamp="1563766760"&gt;3888&lt;/key&gt;&lt;/foreign-keys&gt;&lt;ref-type name="Journal Article"&gt;17&lt;/ref-type&gt;&lt;contributors&gt;&lt;authors&gt;&lt;author&gt;Grover, S.&lt;/author&gt;&lt;author&gt;Helliwell, John F&lt;/author&gt;&lt;/authors&gt;&lt;/contributors&gt;&lt;titles&gt;&lt;title&gt;How’s life at home? New evidence on marriage and the set point for happiness&lt;/title&gt;&lt;secondary-title&gt;Journal of Happiness Studies&lt;/secondary-title&gt;&lt;/titles&gt;&lt;periodical&gt;&lt;full-title&gt;Journal of Happiness Studies&lt;/full-title&gt;&lt;/periodical&gt;&lt;pages&gt;373-390&lt;/pages&gt;&lt;volume&gt;20&lt;/volume&gt;&lt;number&gt;2&lt;/number&gt;&lt;dates&gt;&lt;year&gt;2019&lt;/year&gt;&lt;/dates&gt;&lt;isbn&gt;1389-4978&lt;/isbn&gt;&lt;urls&gt;&lt;/urls&gt;&lt;/record&gt;&lt;/Cite&gt;&lt;/EndNote&gt;</w:instrText>
      </w:r>
      <w:r w:rsidR="004940E5">
        <w:fldChar w:fldCharType="separate"/>
      </w:r>
      <w:r w:rsidR="004940E5">
        <w:rPr>
          <w:noProof/>
        </w:rPr>
        <w:t>(Grover &amp; Helliwell, 2019, p. 374)</w:t>
      </w:r>
      <w:r w:rsidR="004940E5">
        <w:fldChar w:fldCharType="end"/>
      </w:r>
      <w:r w:rsidR="004940E5">
        <w:t>.</w:t>
      </w:r>
    </w:p>
    <w:p w:rsidR="007B5802" w:rsidRPr="00713545" w:rsidRDefault="007B5802" w:rsidP="007B5802">
      <w:r>
        <w:t>My c</w:t>
      </w:r>
      <w:r w:rsidRPr="00713545">
        <w:t>omments</w:t>
      </w:r>
      <w:r w:rsidR="004940E5">
        <w:t xml:space="preserve"> on this quotation</w:t>
      </w:r>
      <w:r w:rsidRPr="00713545">
        <w:t xml:space="preserve"> are:</w:t>
      </w:r>
    </w:p>
    <w:p w:rsidR="007B5802" w:rsidRPr="00713545" w:rsidRDefault="007B5802" w:rsidP="007B5802"/>
    <w:p w:rsidR="007B5802" w:rsidRPr="00713545" w:rsidRDefault="007B5802" w:rsidP="007B5802">
      <w:r w:rsidRPr="00713545">
        <w:t>1.1 Brickman &amp; Campbell (1971) do not mention ‘set-points’, 'genetic', 'genetics' or 'personality'. This is a miss-citation.</w:t>
      </w:r>
    </w:p>
    <w:p w:rsidR="007B5802" w:rsidRPr="00713545" w:rsidRDefault="007B5802" w:rsidP="007B5802"/>
    <w:p w:rsidR="007B5802" w:rsidRPr="00713545" w:rsidRDefault="007B5802" w:rsidP="007B5802">
      <w:r w:rsidRPr="00713545">
        <w:t xml:space="preserve">1.2 Lucas (2007) reports that from the time of marriage to 7-years following, GLS changed from about 76 points to about 72 points (his Figure 1). This estimated degree of change (4 percentage points) is well within the normal range of values around each </w:t>
      </w:r>
      <w:proofErr w:type="spellStart"/>
      <w:r w:rsidRPr="00713545">
        <w:t>setpoint</w:t>
      </w:r>
      <w:proofErr w:type="spellEnd"/>
      <w:r w:rsidRPr="00713545">
        <w:t xml:space="preserve">, of around </w:t>
      </w:r>
      <w:r>
        <w:t>8</w:t>
      </w:r>
      <w:r w:rsidRPr="00713545">
        <w:t xml:space="preserve"> percentage points </w:t>
      </w:r>
      <w:r w:rsidRPr="00713545">
        <w:fldChar w:fldCharType="begin"/>
      </w:r>
      <w:r>
        <w:instrText xml:space="preserve"> ADDIN EN.CITE &lt;EndNote&gt;&lt;Cite&gt;&lt;Author&gt;Capic&lt;/Author&gt;&lt;Year&gt;2018b&lt;/Year&gt;&lt;RecNum&gt;3195&lt;/RecNum&gt;&lt;DisplayText&gt;(Capic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sidRPr="00713545">
        <w:fldChar w:fldCharType="separate"/>
      </w:r>
      <w:r>
        <w:rPr>
          <w:noProof/>
        </w:rPr>
        <w:t>(Capic et al., 2018)</w:t>
      </w:r>
      <w:r w:rsidRPr="00713545">
        <w:fldChar w:fldCharType="end"/>
      </w:r>
      <w:r w:rsidRPr="00713545">
        <w:t xml:space="preserve">. </w:t>
      </w:r>
      <w:r>
        <w:t>Additionally,</w:t>
      </w:r>
      <w:r w:rsidRPr="00713545">
        <w:t xml:space="preserve"> when the people who divorced within the 7-year period were removed from the sample, the</w:t>
      </w:r>
      <w:r>
        <w:t xml:space="preserve"> residual</w:t>
      </w:r>
      <w:r w:rsidRPr="00713545">
        <w:t xml:space="preserve"> change reduced to &lt;3 points (</w:t>
      </w:r>
      <w:r>
        <w:t xml:space="preserve">Lucas, </w:t>
      </w:r>
      <w:r w:rsidRPr="00713545">
        <w:t xml:space="preserve">Figure 2). The </w:t>
      </w:r>
      <w:r>
        <w:t>extent</w:t>
      </w:r>
      <w:r w:rsidRPr="00713545">
        <w:t xml:space="preserve"> of th</w:t>
      </w:r>
      <w:r>
        <w:t>is persistent</w:t>
      </w:r>
      <w:r w:rsidRPr="00713545">
        <w:t xml:space="preserve"> </w:t>
      </w:r>
      <w:r>
        <w:t>elevation in GLS</w:t>
      </w:r>
      <w:r w:rsidRPr="00713545">
        <w:t xml:space="preserve"> </w:t>
      </w:r>
      <w:r>
        <w:t>can be accommodated</w:t>
      </w:r>
      <w:r w:rsidRPr="00713545">
        <w:t xml:space="preserve"> within the </w:t>
      </w:r>
      <w:r>
        <w:t>‘</w:t>
      </w:r>
      <w:proofErr w:type="spellStart"/>
      <w:r>
        <w:t>setpoint</w:t>
      </w:r>
      <w:proofErr w:type="spellEnd"/>
      <w:r>
        <w:t xml:space="preserve"> operational range</w:t>
      </w:r>
      <w:proofErr w:type="gramStart"/>
      <w:r>
        <w:t>’</w:t>
      </w:r>
      <w:r w:rsidRPr="00713545">
        <w:t>, and</w:t>
      </w:r>
      <w:proofErr w:type="gramEnd"/>
      <w:r w:rsidRPr="00713545">
        <w:t xml:space="preserve"> </w:t>
      </w:r>
      <w:r>
        <w:t>attributed to the additional homeostatic resource of a married partner</w:t>
      </w:r>
      <w:r w:rsidRPr="00713545">
        <w:t>.</w:t>
      </w:r>
    </w:p>
    <w:p w:rsidR="007B5802" w:rsidRPr="00713545" w:rsidRDefault="007B5802" w:rsidP="007B5802"/>
    <w:p w:rsidR="007B5802" w:rsidRPr="00713545" w:rsidRDefault="007B5802" w:rsidP="007B5802">
      <w:r w:rsidRPr="00713545">
        <w:t xml:space="preserve">1.3 </w:t>
      </w:r>
      <w:r w:rsidRPr="00713545">
        <w:fldChar w:fldCharType="begin"/>
      </w:r>
      <w:r w:rsidRPr="00713545">
        <w:instrText xml:space="preserve"> ADDIN EN.CITE &lt;EndNote&gt;&lt;Cite AuthorYear="1"&gt;&lt;Author&gt;Suh&lt;/Author&gt;&lt;Year&gt;1996&lt;/Year&gt;&lt;RecNum&gt;2144&lt;/RecNum&gt;&lt;DisplayText&gt;Suh et al. (1996)&lt;/DisplayText&gt;&lt;record&gt;&lt;rec-number&gt;2144&lt;/rec-number&gt;&lt;foreign-keys&gt;&lt;key app="EN" db-id="z2xarpe9cfrvp4ezdxk5ddx9dsrzr05f22sa" timestamp="1437987144"&gt;2144&lt;/key&gt;&lt;/foreign-keys&gt;&lt;ref-type name="Journal Article"&gt;17&lt;/ref-type&gt;&lt;contributors&gt;&lt;authors&gt;&lt;author&gt;Suh, E.&lt;/author&gt;&lt;author&gt;Diener, E.&lt;/author&gt;&lt;author&gt;Frujita, F.&lt;/author&gt;&lt;/authors&gt;&lt;/contributors&gt;&lt;titles&gt;&lt;title&gt;Events and subjective well-being: Only recent events matter&lt;/title&gt;&lt;secondary-title&gt;Journal of Personality and Social Psychology&lt;/secondary-title&gt;&lt;/titles&gt;&lt;periodical&gt;&lt;full-title&gt;Journal of Personality and Social Psychology&lt;/full-title&gt;&lt;/periodical&gt;&lt;pages&gt;1091-1102&lt;/pages&gt;&lt;volume&gt;70&lt;/volume&gt;&lt;number&gt;5&lt;/number&gt;&lt;dates&gt;&lt;year&gt;1996&lt;/year&gt;&lt;/dates&gt;&lt;urls&gt;&lt;/urls&gt;&lt;electronic-resource-num&gt;10.1037//0022-3514.70.5.1091&lt;/electronic-resource-num&gt;&lt;/record&gt;&lt;/Cite&gt;&lt;/EndNote&gt;</w:instrText>
      </w:r>
      <w:r w:rsidRPr="00713545">
        <w:fldChar w:fldCharType="separate"/>
      </w:r>
      <w:r w:rsidRPr="00713545">
        <w:t>Suh et al. (1996)</w:t>
      </w:r>
      <w:r w:rsidRPr="00713545">
        <w:fldChar w:fldCharType="end"/>
      </w:r>
      <w:r w:rsidRPr="00713545">
        <w:t xml:space="preserve"> do not report the subjective wellbeing (SWB) level of their 8 respondents who were married (</w:t>
      </w:r>
      <w:r>
        <w:t xml:space="preserve">all of </w:t>
      </w:r>
      <w:r w:rsidRPr="00713545">
        <w:t>their 115 respondents were 20-21 year-old students).</w:t>
      </w:r>
    </w:p>
    <w:p w:rsidR="007B5802" w:rsidRPr="00713545" w:rsidRDefault="007B5802" w:rsidP="007B5802"/>
    <w:p w:rsidR="007B5802" w:rsidRPr="00713545" w:rsidRDefault="007B5802" w:rsidP="007B5802">
      <w:r w:rsidRPr="007E042D">
        <w:rPr>
          <w:i/>
        </w:rPr>
        <w:t>Conclusion:</w:t>
      </w:r>
      <w:r w:rsidRPr="00713545">
        <w:t xml:space="preserve"> The cited material does not support the </w:t>
      </w:r>
      <w:r w:rsidR="007E042D">
        <w:t>proposition</w:t>
      </w:r>
      <w:r w:rsidRPr="00713545">
        <w:t xml:space="preserve"> by Grover &amp; Helliwell (2019) of “only a few happy post-marriage years before return to the set point.”</w:t>
      </w:r>
      <w:r>
        <w:t xml:space="preserve"> </w:t>
      </w:r>
      <w:r w:rsidR="004940E5">
        <w:t xml:space="preserve">They also </w:t>
      </w:r>
      <w:r w:rsidR="004940E5">
        <w:lastRenderedPageBreak/>
        <w:t>make the unwarranted assumption</w:t>
      </w:r>
      <w:r>
        <w:t xml:space="preserve"> that marital happiness is the over-riding determinant of GLS</w:t>
      </w:r>
      <w:r w:rsidR="004940E5">
        <w:t xml:space="preserve"> levels</w:t>
      </w:r>
      <w:r>
        <w:t>.</w:t>
      </w:r>
    </w:p>
    <w:p w:rsidR="007B5802" w:rsidRDefault="007B5802" w:rsidP="007B5802"/>
    <w:p w:rsidR="007B5802" w:rsidRPr="000C5CAF" w:rsidRDefault="007B5802" w:rsidP="007B5802">
      <w:r w:rsidRPr="000C5CAF">
        <w:t>2. “Two widely cited papers have used panel data to show life satisfaction gains after marriage that are dissipated within a few years … Lucas et al. (2003) … concluded that the set point theory applies to marriage because they found that married individuals</w:t>
      </w:r>
      <w:r>
        <w:t>’</w:t>
      </w:r>
      <w:r w:rsidRPr="000C5CAF">
        <w:t xml:space="preserve"> well-being reverts to their pre-marital baseline after a few years. Second, Clark and </w:t>
      </w:r>
      <w:proofErr w:type="spellStart"/>
      <w:r w:rsidRPr="000C5CAF">
        <w:t>Georgellis</w:t>
      </w:r>
      <w:proofErr w:type="spellEnd"/>
      <w:r w:rsidRPr="000C5CAF">
        <w:t xml:space="preserve"> (2013) … show that married people are more satisfied in the years immediately before and after their marriage, but that [the marriage effect had dissipated after] 5 years” </w:t>
      </w:r>
      <w:r w:rsidR="007E042D">
        <w:fldChar w:fldCharType="begin"/>
      </w:r>
      <w:r w:rsidR="007E042D">
        <w:instrText xml:space="preserve"> ADDIN EN.CITE &lt;EndNote&gt;&lt;Cite&gt;&lt;Author&gt;Grover&lt;/Author&gt;&lt;Year&gt;2019&lt;/Year&gt;&lt;RecNum&gt;3888&lt;/RecNum&gt;&lt;Pages&gt;375&lt;/Pages&gt;&lt;DisplayText&gt;(Grover &amp;amp; Helliwell, 2019, p. 375)&lt;/DisplayText&gt;&lt;record&gt;&lt;rec-number&gt;3888&lt;/rec-number&gt;&lt;foreign-keys&gt;&lt;key app="EN" db-id="z2xarpe9cfrvp4ezdxk5ddx9dsrzr05f22sa" timestamp="1563766760"&gt;3888&lt;/key&gt;&lt;/foreign-keys&gt;&lt;ref-type name="Journal Article"&gt;17&lt;/ref-type&gt;&lt;contributors&gt;&lt;authors&gt;&lt;author&gt;Grover, S.&lt;/author&gt;&lt;author&gt;Helliwell, John F&lt;/author&gt;&lt;/authors&gt;&lt;/contributors&gt;&lt;titles&gt;&lt;title&gt;How’s life at home? New evidence on marriage and the set point for happiness&lt;/title&gt;&lt;secondary-title&gt;Journal of Happiness Studies&lt;/secondary-title&gt;&lt;/titles&gt;&lt;periodical&gt;&lt;full-title&gt;Journal of Happiness Studies&lt;/full-title&gt;&lt;/periodical&gt;&lt;pages&gt;373-390&lt;/pages&gt;&lt;volume&gt;20&lt;/volume&gt;&lt;number&gt;2&lt;/number&gt;&lt;dates&gt;&lt;year&gt;2019&lt;/year&gt;&lt;/dates&gt;&lt;isbn&gt;1389-4978&lt;/isbn&gt;&lt;urls&gt;&lt;/urls&gt;&lt;/record&gt;&lt;/Cite&gt;&lt;/EndNote&gt;</w:instrText>
      </w:r>
      <w:r w:rsidR="007E042D">
        <w:fldChar w:fldCharType="separate"/>
      </w:r>
      <w:r w:rsidR="007E042D">
        <w:rPr>
          <w:noProof/>
        </w:rPr>
        <w:t>(Grover &amp; Helliwell, 2019, p. 375)</w:t>
      </w:r>
      <w:r w:rsidR="007E042D">
        <w:fldChar w:fldCharType="end"/>
      </w:r>
      <w:r w:rsidR="007E042D">
        <w:t>. My comments on this quotation</w:t>
      </w:r>
      <w:r w:rsidRPr="000C5CAF">
        <w:t xml:space="preserve"> are:</w:t>
      </w:r>
    </w:p>
    <w:p w:rsidR="007B5802" w:rsidRPr="000C5CAF" w:rsidRDefault="007B5802" w:rsidP="007B5802"/>
    <w:p w:rsidR="007B5802" w:rsidRPr="000C5CAF" w:rsidRDefault="007B5802" w:rsidP="007B5802">
      <w:r>
        <w:t>2</w:t>
      </w:r>
      <w:r w:rsidRPr="000C5CAF">
        <w:t xml:space="preserve">.1 </w:t>
      </w:r>
      <w:r w:rsidRPr="000C5CAF">
        <w:fldChar w:fldCharType="begin"/>
      </w:r>
      <w:r w:rsidRPr="000C5CAF">
        <w:instrText xml:space="preserve"> ADDIN EN.CITE &lt;EndNote&gt;&lt;Cite AuthorYear="1"&gt;&lt;Author&gt;Lucas&lt;/Author&gt;&lt;Year&gt;2003&lt;/Year&gt;&lt;RecNum&gt;787&lt;/RecNum&gt;&lt;DisplayText&gt;Lucas, Clark, Georgellis, and Diener (2003)&lt;/DisplayText&gt;&lt;record&gt;&lt;rec-number&gt;787&lt;/rec-number&gt;&lt;foreign-keys&gt;&lt;key app="EN" db-id="z2xarpe9cfrvp4ezdxk5ddx9dsrzr05f22sa" timestamp="1348615680"&gt;787&lt;/key&gt;&lt;/foreign-keys&gt;&lt;ref-type name="Journal Article"&gt;17&lt;/ref-type&gt;&lt;contributors&gt;&lt;authors&gt;&lt;author&gt;Lucas, R. E.&lt;/author&gt;&lt;author&gt;Clark, A. E.&lt;/author&gt;&lt;author&gt;Georgellis, Y.&lt;/author&gt;&lt;author&gt;Diener, E.&lt;/author&gt;&lt;/authors&gt;&lt;/contributors&gt;&lt;titles&gt;&lt;title&gt;Reexamining adaptation and the set point model of happiness: Reactions to changes in marital status&lt;/title&gt;&lt;secondary-title&gt;Journal of Personality and Social Psychology&lt;/secondary-title&gt;&lt;/titles&gt;&lt;periodical&gt;&lt;full-title&gt;Journal of Personality and Social Psychology&lt;/full-title&gt;&lt;/periodical&gt;&lt;pages&gt;527-539&lt;/pages&gt;&lt;volume&gt;84 &lt;/volume&gt;&lt;number&gt;3&lt;/number&gt;&lt;dates&gt;&lt;year&gt;2003&lt;/year&gt;&lt;/dates&gt;&lt;urls&gt;&lt;/urls&gt;&lt;electronic-resource-num&gt;10.1037/0022-3514.84.3.527&lt;/electronic-resource-num&gt;&lt;/record&gt;&lt;/Cite&gt;&lt;/EndNote&gt;</w:instrText>
      </w:r>
      <w:r w:rsidRPr="000C5CAF">
        <w:fldChar w:fldCharType="separate"/>
      </w:r>
      <w:r w:rsidRPr="000C5CAF">
        <w:t>Lucas, Clark, Georgellis, and Diener (2003)</w:t>
      </w:r>
      <w:r w:rsidRPr="000C5CAF">
        <w:fldChar w:fldCharType="end"/>
      </w:r>
      <w:r w:rsidRPr="000C5CAF">
        <w:t xml:space="preserve"> </w:t>
      </w:r>
      <w:r>
        <w:t>evidence a misunderstanding of homeostatic set-point theory. They state “</w:t>
      </w:r>
      <w:r w:rsidRPr="00380F37">
        <w:t>According to this</w:t>
      </w:r>
      <w:r>
        <w:t xml:space="preserve"> [set-point]</w:t>
      </w:r>
      <w:r w:rsidRPr="00380F37">
        <w:t xml:space="preserve"> idea, people have happiness set points to which they inevitably return following disruptive life events</w:t>
      </w:r>
      <w:r w:rsidR="002832FB">
        <w:t>” (p. 527). This is a basic misunderstanding of what ‘</w:t>
      </w:r>
      <w:proofErr w:type="spellStart"/>
      <w:r w:rsidR="004A1A95">
        <w:t>setpoints</w:t>
      </w:r>
      <w:proofErr w:type="spellEnd"/>
      <w:r w:rsidR="004A1A95">
        <w:t>’</w:t>
      </w:r>
      <w:r w:rsidR="002832FB">
        <w:t xml:space="preserve"> represent</w:t>
      </w:r>
      <w:r>
        <w:t xml:space="preserve"> [see ‘background’ above].</w:t>
      </w:r>
    </w:p>
    <w:p w:rsidR="007B5802" w:rsidRDefault="007B5802" w:rsidP="007B5802"/>
    <w:p w:rsidR="007B5802" w:rsidRDefault="007B5802" w:rsidP="007B5802">
      <w:r>
        <w:t xml:space="preserve">2.2 </w:t>
      </w:r>
      <w:r>
        <w:fldChar w:fldCharType="begin"/>
      </w:r>
      <w:r>
        <w:instrText xml:space="preserve"> ADDIN EN.CITE &lt;EndNote&gt;&lt;Cite AuthorYear="1"&gt;&lt;Author&gt;Clark&lt;/Author&gt;&lt;Year&gt;2013&lt;/Year&gt;&lt;RecNum&gt;3891&lt;/RecNum&gt;&lt;DisplayText&gt;Clark and Georgellis (2013)&lt;/DisplayText&gt;&lt;record&gt;&lt;rec-number&gt;3891&lt;/rec-number&gt;&lt;foreign-keys&gt;&lt;key app="EN" db-id="z2xarpe9cfrvp4ezdxk5ddx9dsrzr05f22sa" timestamp="1563951240"&gt;3891&lt;/key&gt;&lt;/foreign-keys&gt;&lt;ref-type name="Journal Article"&gt;17&lt;/ref-type&gt;&lt;contributors&gt;&lt;authors&gt;&lt;author&gt;Clark, A. E.&lt;/author&gt;&lt;author&gt;Georgellis, Yannis&lt;/author&gt;&lt;/authors&gt;&lt;/contributors&gt;&lt;titles&gt;&lt;title&gt;Back to baseline in Britain: adaptation in the British household panel survey&lt;/title&gt;&lt;secondary-title&gt;Economica&lt;/secondary-title&gt;&lt;/titles&gt;&lt;periodical&gt;&lt;full-title&gt;Economica&lt;/full-title&gt;&lt;/periodical&gt;&lt;pages&gt;496-512&lt;/pages&gt;&lt;volume&gt;80&lt;/volume&gt;&lt;number&gt;319&lt;/number&gt;&lt;dates&gt;&lt;year&gt;2013&lt;/year&gt;&lt;/dates&gt;&lt;isbn&gt;0013-0427&lt;/isbn&gt;&lt;urls&gt;&lt;/urls&gt;&lt;/record&gt;&lt;/Cite&gt;&lt;/EndNote&gt;</w:instrText>
      </w:r>
      <w:r>
        <w:fldChar w:fldCharType="separate"/>
      </w:r>
      <w:r>
        <w:rPr>
          <w:noProof/>
        </w:rPr>
        <w:t>Clark and Georgellis (2013)</w:t>
      </w:r>
      <w:r>
        <w:fldChar w:fldCharType="end"/>
      </w:r>
      <w:r>
        <w:t xml:space="preserve"> make no mention of ‘set-point’. They simply show that GLS rises slightly in the 3-4 years before marriage, and then falls back to baseline after 5 years. </w:t>
      </w:r>
    </w:p>
    <w:p w:rsidR="007B5802" w:rsidRDefault="007B5802" w:rsidP="007B5802"/>
    <w:p w:rsidR="002832FB" w:rsidRDefault="007B5802" w:rsidP="007B5802">
      <w:r>
        <w:t>By citing these sources</w:t>
      </w:r>
      <w:r w:rsidR="002832FB">
        <w:t>,</w:t>
      </w:r>
      <w:r>
        <w:t xml:space="preserve"> and </w:t>
      </w:r>
      <w:r w:rsidR="002832FB">
        <w:t>also</w:t>
      </w:r>
      <w:r>
        <w:t xml:space="preserve"> their own results,</w:t>
      </w:r>
      <w:r w:rsidRPr="00D3443D">
        <w:t xml:space="preserve"> </w:t>
      </w:r>
      <w:r>
        <w:t xml:space="preserve">which essentially replicate the findings </w:t>
      </w:r>
      <w:r w:rsidR="007E042D">
        <w:t xml:space="preserve">that have been </w:t>
      </w:r>
      <w:r>
        <w:t xml:space="preserve">listed, </w:t>
      </w:r>
      <w:r w:rsidRPr="000C5CAF">
        <w:t>Grover</w:t>
      </w:r>
      <w:r>
        <w:t xml:space="preserve"> &amp; Helliwell (2019) </w:t>
      </w:r>
      <w:r w:rsidRPr="00D3443D">
        <w:t xml:space="preserve">deduce that the idea of </w:t>
      </w:r>
      <w:proofErr w:type="spellStart"/>
      <w:r w:rsidRPr="00D3443D">
        <w:t>setpoints</w:t>
      </w:r>
      <w:proofErr w:type="spellEnd"/>
      <w:r w:rsidRPr="00D3443D">
        <w:t xml:space="preserve"> for GLS has been discredited.</w:t>
      </w:r>
      <w:r>
        <w:t xml:space="preserve"> They state</w:t>
      </w:r>
      <w:r w:rsidRPr="00D3443D">
        <w:t xml:space="preserve"> “ These results … demonstrate that life evaluations are not fully determined by genetic and other factors to define immutable long-term individual happiness set points” (pp. 385-386) citing </w:t>
      </w:r>
      <w:r w:rsidRPr="00D3443D">
        <w:fldChar w:fldCharType="begin"/>
      </w:r>
      <w:r w:rsidRPr="00D3443D">
        <w:instrText xml:space="preserve"> ADDIN EN.CITE &lt;EndNote&gt;&lt;Cite AuthorYear="1"&gt;&lt;Author&gt;Cummins&lt;/Author&gt;&lt;Year&gt;2014a&lt;/Year&gt;&lt;RecNum&gt;813&lt;/RecNum&gt;&lt;DisplayText&gt;Cummins et al. (2014a)&lt;/DisplayText&gt;&lt;record&gt;&lt;rec-number&gt;813&lt;/rec-number&gt;&lt;foreign-keys&gt;&lt;key app="EN" db-id="z2xarpe9cfrvp4ezdxk5ddx9dsrzr05f22sa" timestamp="1351118016"&gt;813&lt;/key&gt;&lt;/foreign-keys&gt;&lt;ref-type name="Journal Article"&gt;17&lt;/ref-type&gt;&lt;contributors&gt;&lt;authors&gt;&lt;author&gt;Cummins, R. A.&lt;/author&gt;&lt;author&gt;Li, L.&lt;/author&gt;&lt;author&gt;Wooden, M.&lt;/author&gt;&lt;author&gt;Stokes, M.&lt;/author&gt;&lt;/authors&gt;&lt;/contributors&gt;&lt;titles&gt;&lt;title&gt;A demonstration of set-points for subjective wellbeing&lt;/title&gt;&lt;secondary-title&gt;Journal of Happiness Studies&lt;/secondary-title&gt;&lt;/titles&gt;&lt;periodical&gt;&lt;full-title&gt;Journal of Happiness Studies&lt;/full-title&gt;&lt;/periodical&gt;&lt;pages&gt;183-206&lt;/pages&gt;&lt;volume&gt;15&lt;/volume&gt;&lt;dates&gt;&lt;year&gt;2014a&lt;/year&gt;&lt;/dates&gt;&lt;urls&gt;&lt;/urls&gt;&lt;electronic-resource-num&gt;10.1007/s10902-013-9444-9&lt;/electronic-resource-num&gt;&lt;/record&gt;&lt;/Cite&gt;&lt;/EndNote&gt;</w:instrText>
      </w:r>
      <w:r w:rsidRPr="00D3443D">
        <w:fldChar w:fldCharType="separate"/>
      </w:r>
      <w:r w:rsidRPr="00D3443D">
        <w:t>Cummins et al. (2014a)</w:t>
      </w:r>
      <w:r w:rsidRPr="00D3443D">
        <w:fldChar w:fldCharType="end"/>
      </w:r>
      <w:r w:rsidRPr="00D3443D">
        <w:t>.</w:t>
      </w:r>
      <w:r>
        <w:t xml:space="preserve"> </w:t>
      </w:r>
    </w:p>
    <w:p w:rsidR="002832FB" w:rsidRDefault="002832FB" w:rsidP="007B5802"/>
    <w:p w:rsidR="007B5802" w:rsidRPr="00D3443D" w:rsidRDefault="002832FB" w:rsidP="007B5802">
      <w:r>
        <w:t xml:space="preserve">Conclusion: </w:t>
      </w:r>
      <w:r w:rsidR="007B5802">
        <w:t>The gap between what homeostasis</w:t>
      </w:r>
      <w:r>
        <w:t xml:space="preserve"> set-point</w:t>
      </w:r>
      <w:r w:rsidR="007B5802">
        <w:t xml:space="preserve"> theory claims, and what Grover &amp; Helliwell suppose it claims, is a barrier to rational scientific discourse.</w:t>
      </w:r>
    </w:p>
    <w:p w:rsidR="007B5802" w:rsidRDefault="007B5802" w:rsidP="00F3120B">
      <w:pPr>
        <w:rPr>
          <w:rFonts w:eastAsia="Arial" w:cs="Times New Roman"/>
          <w:b/>
        </w:rPr>
      </w:pPr>
    </w:p>
    <w:p w:rsidR="00F3120B" w:rsidRPr="00CD5885" w:rsidRDefault="00F3120B" w:rsidP="00F3120B">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F3120B" w:rsidRPr="00BB5D46" w:rsidRDefault="00F3120B" w:rsidP="00837C7B">
      <w:pPr>
        <w:rPr>
          <w:rFonts w:eastAsia="Arial" w:cs="Times New Roman"/>
          <w:i/>
        </w:rPr>
      </w:pPr>
    </w:p>
    <w:p w:rsidR="00F3120B" w:rsidRPr="00BB5D46" w:rsidRDefault="00F3120B" w:rsidP="00F3120B">
      <w:pPr>
        <w:jc w:val="center"/>
        <w:rPr>
          <w:rFonts w:eastAsia="Arial" w:cs="Times New Roman"/>
          <w:i/>
        </w:rPr>
      </w:pPr>
      <w:r w:rsidRPr="00BB5D46">
        <w:rPr>
          <w:rFonts w:eastAsia="Arial" w:cs="Times New Roman"/>
          <w:i/>
        </w:rPr>
        <w:t xml:space="preserve">Further discussion of </w:t>
      </w:r>
      <w:r w:rsidR="00CF028D">
        <w:rPr>
          <w:rFonts w:eastAsia="Arial" w:cs="Times New Roman"/>
          <w:i/>
        </w:rPr>
        <w:t xml:space="preserve">this paper, </w:t>
      </w:r>
      <w:r w:rsidRPr="00BB5D46">
        <w:rPr>
          <w:rFonts w:eastAsia="Arial" w:cs="Times New Roman"/>
          <w:i/>
        </w:rPr>
        <w:t xml:space="preserve">for circulation to members, is invited. Send to: </w:t>
      </w:r>
      <w:hyperlink r:id="rId199" w:history="1">
        <w:r w:rsidRPr="00BB5D46">
          <w:rPr>
            <w:rFonts w:eastAsia="Arial" w:cs="Times New Roman"/>
            <w:i/>
            <w:color w:val="0563C1"/>
            <w:u w:val="single"/>
          </w:rPr>
          <w:t>robert.cummins@deakin.edu.au</w:t>
        </w:r>
      </w:hyperlink>
    </w:p>
    <w:p w:rsidR="00F3120B" w:rsidRPr="00BB5D46" w:rsidRDefault="00F3120B" w:rsidP="00F3120B">
      <w:pPr>
        <w:jc w:val="center"/>
        <w:rPr>
          <w:rFonts w:eastAsia="Arial" w:cs="Times New Roman"/>
          <w:i/>
        </w:rPr>
      </w:pPr>
      <w:r w:rsidRPr="00BB5D46">
        <w:rPr>
          <w:rFonts w:eastAsia="Arial" w:cs="Times New Roman"/>
          <w:i/>
        </w:rPr>
        <w:t xml:space="preserve">Substantive comments received by midnight on </w:t>
      </w:r>
      <w:r w:rsidRPr="00CF028D">
        <w:rPr>
          <w:rFonts w:eastAsia="Arial" w:cs="Times New Roman"/>
          <w:i/>
        </w:rPr>
        <w:t xml:space="preserve">Monday </w:t>
      </w:r>
      <w:r w:rsidR="00CF028D" w:rsidRPr="00CF028D">
        <w:rPr>
          <w:rFonts w:eastAsia="Arial" w:cs="Times New Roman"/>
          <w:i/>
        </w:rPr>
        <w:t>29</w:t>
      </w:r>
      <w:r w:rsidR="00CF028D" w:rsidRPr="00CF028D">
        <w:rPr>
          <w:rFonts w:eastAsia="Arial" w:cs="Times New Roman"/>
          <w:i/>
          <w:vertAlign w:val="superscript"/>
        </w:rPr>
        <w:t>th</w:t>
      </w:r>
      <w:r w:rsidR="00CF028D" w:rsidRPr="00CF028D">
        <w:rPr>
          <w:rFonts w:eastAsia="Arial" w:cs="Times New Roman"/>
          <w:i/>
        </w:rPr>
        <w:t xml:space="preserve"> July</w:t>
      </w:r>
      <w:r w:rsidRPr="00CF028D">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F3120B" w:rsidRPr="00BB5D46" w:rsidRDefault="00F3120B" w:rsidP="00F3120B">
      <w:pPr>
        <w:jc w:val="center"/>
        <w:rPr>
          <w:rFonts w:eastAsia="Arial" w:cs="Times New Roman"/>
          <w:i/>
        </w:rPr>
      </w:pPr>
    </w:p>
    <w:p w:rsidR="00F3120B" w:rsidRPr="00903231" w:rsidRDefault="00F3120B" w:rsidP="00903231">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F3120B" w:rsidRPr="00BB5D46" w:rsidRDefault="00F3120B" w:rsidP="00903231">
      <w:pPr>
        <w:rPr>
          <w:rFonts w:eastAsia="Arial" w:cs="Times New Roman"/>
          <w:b/>
          <w:color w:val="000000"/>
          <w:sz w:val="32"/>
          <w:szCs w:val="32"/>
          <w:lang w:val="en-US"/>
        </w:rPr>
      </w:pPr>
    </w:p>
    <w:p w:rsidR="00F3120B" w:rsidRDefault="00F3120B" w:rsidP="00F3120B">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F3120B" w:rsidRPr="004A2F62" w:rsidRDefault="00F3120B" w:rsidP="00F3120B">
      <w:pPr>
        <w:jc w:val="center"/>
        <w:rPr>
          <w:rFonts w:eastAsia="Calibri" w:cs="Times New Roman"/>
          <w:i/>
          <w:szCs w:val="22"/>
        </w:rPr>
      </w:pPr>
      <w:r w:rsidRPr="007F0718">
        <w:rPr>
          <w:rFonts w:eastAsia="Calibri" w:cs="Times New Roman"/>
          <w:i/>
          <w:szCs w:val="22"/>
        </w:rPr>
        <w:t>Sourced from the Analysis &amp; Policy Observatory</w:t>
      </w:r>
    </w:p>
    <w:p w:rsidR="00F3120B" w:rsidRPr="00BB5D46" w:rsidRDefault="00F3120B" w:rsidP="00F3120B">
      <w:pPr>
        <w:jc w:val="center"/>
        <w:rPr>
          <w:rFonts w:eastAsia="Arial" w:cs="Times New Roman"/>
          <w:b/>
          <w:color w:val="000000"/>
          <w:sz w:val="32"/>
          <w:szCs w:val="32"/>
          <w:lang w:val="en-US"/>
        </w:rPr>
      </w:pPr>
    </w:p>
    <w:p w:rsidR="00903231" w:rsidRPr="00903231" w:rsidRDefault="00903231" w:rsidP="00F3120B">
      <w:pPr>
        <w:rPr>
          <w:rFonts w:cs="Times New Roman"/>
        </w:rPr>
      </w:pPr>
      <w:proofErr w:type="spellStart"/>
      <w:r w:rsidRPr="00903231">
        <w:rPr>
          <w:rFonts w:cs="Times New Roman"/>
        </w:rPr>
        <w:t>Kurti</w:t>
      </w:r>
      <w:proofErr w:type="spellEnd"/>
      <w:r w:rsidRPr="00903231">
        <w:rPr>
          <w:rFonts w:cs="Times New Roman"/>
        </w:rPr>
        <w:t xml:space="preserve">, P. (2019). </w:t>
      </w:r>
      <w:r w:rsidRPr="00903231">
        <w:rPr>
          <w:rFonts w:cs="Times New Roman"/>
          <w:i/>
          <w:iCs/>
        </w:rPr>
        <w:t>CRACKING UP? Culture and the Displacement of Virtue</w:t>
      </w:r>
      <w:r>
        <w:rPr>
          <w:rFonts w:cs="Times New Roman"/>
          <w:i/>
          <w:iCs/>
        </w:rPr>
        <w:t>.</w:t>
      </w:r>
      <w:r w:rsidRPr="00903231">
        <w:rPr>
          <w:rFonts w:cs="Times New Roman"/>
          <w:i/>
          <w:iCs/>
        </w:rPr>
        <w:t xml:space="preserve"> </w:t>
      </w:r>
      <w:r w:rsidRPr="00903231">
        <w:rPr>
          <w:rFonts w:cs="Times New Roman"/>
        </w:rPr>
        <w:t xml:space="preserve">Sydney: The Centre for Independent Studies </w:t>
      </w:r>
    </w:p>
    <w:p w:rsidR="00903231" w:rsidRDefault="00DF3874" w:rsidP="00F3120B">
      <w:pPr>
        <w:rPr>
          <w:rFonts w:ascii="Segoe UI" w:hAnsi="Segoe UI" w:cs="Segoe UI"/>
          <w:sz w:val="18"/>
          <w:szCs w:val="18"/>
        </w:rPr>
      </w:pPr>
      <w:hyperlink r:id="rId200" w:history="1">
        <w:r w:rsidR="00903231" w:rsidRPr="00674F8F">
          <w:rPr>
            <w:rStyle w:val="Hyperlink"/>
            <w:rFonts w:ascii="Segoe UI" w:hAnsi="Segoe UI" w:cs="Segoe UI"/>
            <w:sz w:val="18"/>
            <w:szCs w:val="18"/>
          </w:rPr>
          <w:t>https://www.cis.org.au/app/uploads/2019/06/ap4.pdf</w:t>
        </w:r>
      </w:hyperlink>
    </w:p>
    <w:p w:rsidR="00903231" w:rsidRDefault="00903231" w:rsidP="00F3120B">
      <w:pPr>
        <w:rPr>
          <w:rFonts w:ascii="Segoe UI" w:hAnsi="Segoe UI" w:cs="Segoe UI"/>
          <w:sz w:val="18"/>
          <w:szCs w:val="18"/>
        </w:rPr>
      </w:pPr>
    </w:p>
    <w:p w:rsidR="00903231" w:rsidRDefault="00903231" w:rsidP="00903231">
      <w:pPr>
        <w:rPr>
          <w:rFonts w:cs="Times New Roman"/>
        </w:rPr>
      </w:pPr>
      <w:r w:rsidRPr="00903231">
        <w:rPr>
          <w:rFonts w:cs="Times New Roman"/>
        </w:rPr>
        <w:t xml:space="preserve"> The argument presented here is that the fracturing of our culture can be accounted for, in large part, by the crisis of moral authority that confronts our society. The eclipse of virtue by values has led to a distorted view of morality that is no longer informed by principles of </w:t>
      </w:r>
      <w:r w:rsidRPr="00903231">
        <w:rPr>
          <w:rFonts w:cs="Times New Roman"/>
        </w:rPr>
        <w:lastRenderedPageBreak/>
        <w:t xml:space="preserve">reason but by emotion. The communal norms of morality expressed by virtue have been displaced by a new primacy afforded to feelings. </w:t>
      </w:r>
    </w:p>
    <w:p w:rsidR="00903231" w:rsidRPr="00903231" w:rsidRDefault="00903231" w:rsidP="00903231">
      <w:pPr>
        <w:rPr>
          <w:rFonts w:cs="Times New Roman"/>
        </w:rPr>
      </w:pPr>
    </w:p>
    <w:p w:rsidR="00903231" w:rsidRPr="0004067D" w:rsidRDefault="00903231" w:rsidP="00F3120B">
      <w:pPr>
        <w:rPr>
          <w:rFonts w:cs="Times New Roman"/>
        </w:rPr>
      </w:pPr>
      <w:r w:rsidRPr="00903231">
        <w:rPr>
          <w:rFonts w:cs="Times New Roman"/>
        </w:rPr>
        <w:t>The fissures in our culture can be closed only by a reinstatement of a moral authority that appeals to norms that transcend the felt concerns and experiences of the individual, and instead locates them in the wider frame of a common human nature so that all may flourish. This must be done, in other words, by appealing to virtue. Yet this is no easy task.</w:t>
      </w:r>
    </w:p>
    <w:p w:rsidR="00F3120B" w:rsidRDefault="00F3120B" w:rsidP="00F3120B">
      <w:pPr>
        <w:jc w:val="center"/>
        <w:rPr>
          <w:rFonts w:ascii="Helvetica" w:hAnsi="Helvetica" w:cs="Helvetica"/>
          <w:sz w:val="18"/>
          <w:szCs w:val="18"/>
        </w:rPr>
      </w:pPr>
    </w:p>
    <w:p w:rsidR="00F3120B" w:rsidRDefault="00F3120B" w:rsidP="00F3120B">
      <w:pPr>
        <w:jc w:val="center"/>
        <w:rPr>
          <w:rFonts w:ascii="Helvetica" w:hAnsi="Helvetica" w:cs="Helvetica"/>
          <w:sz w:val="18"/>
          <w:szCs w:val="18"/>
        </w:rPr>
      </w:pPr>
    </w:p>
    <w:p w:rsidR="00F3120B" w:rsidRPr="00CB131A" w:rsidRDefault="00F3120B" w:rsidP="00F3120B">
      <w:pPr>
        <w:jc w:val="center"/>
        <w:rPr>
          <w:rFonts w:eastAsia="Arial" w:cs="Times New Roman"/>
          <w:b/>
          <w:sz w:val="32"/>
          <w:szCs w:val="32"/>
        </w:rPr>
      </w:pPr>
      <w:r w:rsidRPr="00BB5D46">
        <w:rPr>
          <w:rFonts w:eastAsia="Arial" w:cs="Times New Roman"/>
          <w:b/>
          <w:sz w:val="32"/>
          <w:szCs w:val="32"/>
        </w:rPr>
        <w:t>Media news</w:t>
      </w:r>
    </w:p>
    <w:p w:rsidR="00F3120B" w:rsidRPr="00CB131A" w:rsidRDefault="00F3120B" w:rsidP="00F3120B">
      <w:pPr>
        <w:jc w:val="center"/>
        <w:rPr>
          <w:rFonts w:eastAsia="Arial" w:cs="Times New Roman"/>
          <w:i/>
        </w:rPr>
      </w:pPr>
      <w:r w:rsidRPr="00CB131A">
        <w:rPr>
          <w:rFonts w:eastAsia="Arial" w:cs="Times New Roman"/>
          <w:i/>
        </w:rPr>
        <w:t>Tanika Roberts [</w:t>
      </w:r>
      <w:hyperlink r:id="rId201" w:history="1">
        <w:r w:rsidRPr="00CB131A">
          <w:rPr>
            <w:rStyle w:val="Hyperlink"/>
            <w:rFonts w:eastAsia="Arial" w:cs="Times New Roman"/>
            <w:i/>
          </w:rPr>
          <w:t>trobe@deakin.edu.au</w:t>
        </w:r>
      </w:hyperlink>
      <w:r w:rsidRPr="00CB131A">
        <w:rPr>
          <w:rFonts w:eastAsia="Arial" w:cs="Times New Roman"/>
          <w:i/>
        </w:rPr>
        <w:t>]</w:t>
      </w:r>
    </w:p>
    <w:p w:rsidR="00F3120B" w:rsidRPr="00CB131A" w:rsidRDefault="00F3120B" w:rsidP="00F3120B">
      <w:pPr>
        <w:jc w:val="center"/>
        <w:rPr>
          <w:rFonts w:eastAsia="Arial" w:cs="Times New Roman"/>
          <w:i/>
        </w:rPr>
      </w:pPr>
      <w:r w:rsidRPr="00CB131A">
        <w:rPr>
          <w:rFonts w:eastAsia="Arial" w:cs="Times New Roman"/>
          <w:i/>
        </w:rPr>
        <w:t>Executive Volunteer, Bulletin Co-Editor– Media</w:t>
      </w:r>
    </w:p>
    <w:p w:rsidR="00F3120B" w:rsidRDefault="00F3120B" w:rsidP="00F3120B">
      <w:pPr>
        <w:rPr>
          <w:rFonts w:eastAsia="Arial" w:cs="Times New Roman"/>
          <w:sz w:val="28"/>
          <w:szCs w:val="28"/>
        </w:rPr>
      </w:pPr>
    </w:p>
    <w:p w:rsidR="006A12FD" w:rsidRDefault="006A12FD" w:rsidP="006A12FD">
      <w:pPr>
        <w:shd w:val="clear" w:color="auto" w:fill="FFFFFF"/>
        <w:spacing w:line="288" w:lineRule="atLeast"/>
        <w:outlineLvl w:val="0"/>
        <w:rPr>
          <w:rFonts w:eastAsia="Times New Roman" w:cs="Times New Roman"/>
          <w:b/>
          <w:bCs/>
          <w:kern w:val="36"/>
          <w:sz w:val="48"/>
          <w:szCs w:val="48"/>
          <w:lang w:eastAsia="en-AU"/>
        </w:rPr>
      </w:pPr>
      <w:r w:rsidRPr="006A12FD">
        <w:rPr>
          <w:rFonts w:eastAsia="Times New Roman" w:cs="Times New Roman"/>
          <w:b/>
          <w:bCs/>
          <w:kern w:val="36"/>
          <w:sz w:val="27"/>
          <w:szCs w:val="27"/>
          <w:lang w:eastAsia="en-AU"/>
        </w:rPr>
        <w:t xml:space="preserve">'Burn-Out' Is Now a Legitimate Syndrome According to The WHO. Here Are </w:t>
      </w:r>
      <w:proofErr w:type="gramStart"/>
      <w:r w:rsidRPr="006A12FD">
        <w:rPr>
          <w:rFonts w:eastAsia="Times New Roman" w:cs="Times New Roman"/>
          <w:b/>
          <w:bCs/>
          <w:kern w:val="36"/>
          <w:sz w:val="27"/>
          <w:szCs w:val="27"/>
          <w:lang w:eastAsia="en-AU"/>
        </w:rPr>
        <w:t>The</w:t>
      </w:r>
      <w:proofErr w:type="gramEnd"/>
      <w:r w:rsidRPr="006A12FD">
        <w:rPr>
          <w:rFonts w:eastAsia="Times New Roman" w:cs="Times New Roman"/>
          <w:b/>
          <w:bCs/>
          <w:kern w:val="36"/>
          <w:sz w:val="27"/>
          <w:szCs w:val="27"/>
          <w:lang w:eastAsia="en-AU"/>
        </w:rPr>
        <w:t xml:space="preserve"> Symptoms</w:t>
      </w:r>
    </w:p>
    <w:p w:rsidR="006A12FD" w:rsidRPr="006A12FD" w:rsidRDefault="006A12FD" w:rsidP="006A12FD">
      <w:pPr>
        <w:shd w:val="clear" w:color="auto" w:fill="FFFFFF"/>
        <w:spacing w:line="288" w:lineRule="atLeast"/>
        <w:outlineLvl w:val="0"/>
        <w:rPr>
          <w:rFonts w:eastAsia="Times New Roman" w:cs="Times New Roman"/>
          <w:b/>
          <w:bCs/>
          <w:kern w:val="36"/>
          <w:sz w:val="48"/>
          <w:szCs w:val="48"/>
          <w:lang w:eastAsia="en-AU"/>
        </w:rPr>
      </w:pPr>
      <w:r w:rsidRPr="006A12FD">
        <w:rPr>
          <w:rFonts w:eastAsia="Times New Roman" w:cs="Times New Roman"/>
          <w:color w:val="767676"/>
          <w:sz w:val="20"/>
          <w:szCs w:val="21"/>
          <w:lang w:eastAsia="en-AU"/>
        </w:rPr>
        <w:t>CARLY CASSELLA</w:t>
      </w:r>
      <w:r w:rsidRPr="006A12FD">
        <w:rPr>
          <w:rFonts w:eastAsia="Times New Roman" w:cs="Times New Roman"/>
          <w:color w:val="6E6E6E"/>
          <w:sz w:val="20"/>
          <w:szCs w:val="21"/>
          <w:lang w:eastAsia="en-AU"/>
        </w:rPr>
        <w:t xml:space="preserve"> | </w:t>
      </w:r>
      <w:r w:rsidRPr="006A12FD">
        <w:rPr>
          <w:rFonts w:eastAsia="Times New Roman" w:cs="Times New Roman"/>
          <w:color w:val="767676"/>
          <w:sz w:val="20"/>
          <w:szCs w:val="21"/>
          <w:lang w:eastAsia="en-AU"/>
        </w:rPr>
        <w:t>29 MAY 2019</w:t>
      </w:r>
    </w:p>
    <w:p w:rsidR="006A12FD" w:rsidRPr="006A12FD" w:rsidRDefault="00DF3874" w:rsidP="006A12FD">
      <w:pPr>
        <w:spacing w:before="100" w:beforeAutospacing="1" w:after="100" w:afterAutospacing="1"/>
        <w:rPr>
          <w:rFonts w:eastAsia="Calibri" w:cs="Times New Roman"/>
          <w:lang w:eastAsia="en-AU"/>
        </w:rPr>
      </w:pPr>
      <w:hyperlink r:id="rId202" w:history="1">
        <w:r w:rsidR="006A12FD" w:rsidRPr="006A12FD">
          <w:rPr>
            <w:rFonts w:eastAsia="Calibri" w:cs="Times New Roman"/>
            <w:color w:val="0000FF"/>
            <w:sz w:val="23"/>
            <w:szCs w:val="23"/>
            <w:u w:val="single"/>
            <w:lang w:eastAsia="en-AU"/>
          </w:rPr>
          <w:t>https://www.sciencealert.com/burn-out-is-now-officially-recognised-as-a-legitimate-syndrome-by-the-world-health-organisation?perpetual=yes&amp;limitstart=1</w:t>
        </w:r>
      </w:hyperlink>
    </w:p>
    <w:p w:rsidR="006A12FD" w:rsidRPr="006A12FD" w:rsidRDefault="006A12FD" w:rsidP="00CF028D">
      <w:pPr>
        <w:rPr>
          <w:rFonts w:eastAsia="Calibri" w:cs="Times New Roman"/>
          <w:lang w:eastAsia="en-AU"/>
        </w:rPr>
      </w:pPr>
      <w:r w:rsidRPr="006A12FD">
        <w:rPr>
          <w:rFonts w:eastAsia="Calibri" w:cs="Times New Roman"/>
          <w:shd w:val="clear" w:color="auto" w:fill="FFFFFF"/>
          <w:lang w:eastAsia="en-AU"/>
        </w:rPr>
        <w:t>Workplace 'burn-out' has become such a serious health issue in the modern age, it's now been reclassified by the World Health Organisation.</w:t>
      </w:r>
      <w:r w:rsidRPr="006A12FD">
        <w:rPr>
          <w:rFonts w:eastAsia="Calibri" w:cs="Times New Roman"/>
          <w:lang w:eastAsia="en-AU"/>
        </w:rPr>
        <w:t xml:space="preserve"> </w:t>
      </w:r>
      <w:r w:rsidRPr="006A12FD">
        <w:rPr>
          <w:rFonts w:eastAsia="Calibri" w:cs="Times New Roman"/>
          <w:shd w:val="clear" w:color="auto" w:fill="FFFFFF"/>
          <w:lang w:eastAsia="en-AU"/>
        </w:rPr>
        <w:t>Within the agency's widely-used manual, known as the International Classification of Diseases (IC</w:t>
      </w:r>
      <w:r>
        <w:rPr>
          <w:rFonts w:eastAsia="Calibri" w:cs="Times New Roman"/>
          <w:shd w:val="clear" w:color="auto" w:fill="FFFFFF"/>
          <w:lang w:eastAsia="en-AU"/>
        </w:rPr>
        <w:t xml:space="preserve">D), burn-out will be officially </w:t>
      </w:r>
      <w:r w:rsidRPr="006A12FD">
        <w:rPr>
          <w:rFonts w:eastAsia="Calibri" w:cs="Times New Roman"/>
          <w:shd w:val="clear" w:color="auto" w:fill="FFFFFF"/>
          <w:lang w:eastAsia="en-AU"/>
        </w:rPr>
        <w:t>listed: not as a medical condition (as some </w:t>
      </w:r>
      <w:r w:rsidRPr="006A12FD">
        <w:rPr>
          <w:rFonts w:eastAsia="Calibri" w:cs="Times New Roman"/>
          <w:lang w:eastAsia="en-AU"/>
        </w:rPr>
        <w:t>initial reports have wrongfully stated), but instead as an 'occupational syndrome'. The WHO characterises burnout: "feelings of energy depletion or exhaustion; increased mental distance from one's job, or feelings of negativism or cynicism related to one's job; and reduced professional efficacy.” The parameters of burn-out are in desperate need of clarity, and these new international standards could greatly improve diagnosis and treatment</w:t>
      </w:r>
    </w:p>
    <w:p w:rsidR="00F3120B" w:rsidRPr="00BB5D46" w:rsidRDefault="00F3120B" w:rsidP="00F3120B">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F3120B" w:rsidRDefault="00F3120B" w:rsidP="00F3120B">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F3120B" w:rsidRPr="00BB5D46" w:rsidRDefault="00F3120B" w:rsidP="00F3120B">
      <w:pPr>
        <w:jc w:val="center"/>
        <w:rPr>
          <w:rFonts w:eastAsia="Calibri" w:cs="Times New Roman"/>
          <w:i/>
          <w:szCs w:val="22"/>
        </w:rPr>
      </w:pPr>
      <w:r w:rsidRPr="00BB5D46">
        <w:rPr>
          <w:rFonts w:eastAsia="Calibri" w:cs="Times New Roman"/>
          <w:i/>
          <w:szCs w:val="22"/>
        </w:rPr>
        <w:t>Membership Registrar</w:t>
      </w:r>
    </w:p>
    <w:p w:rsidR="00F3120B" w:rsidRPr="00BB5D46" w:rsidRDefault="00F3120B" w:rsidP="00F3120B">
      <w:pPr>
        <w:rPr>
          <w:rFonts w:eastAsia="Calibri" w:cs="Times New Roman"/>
          <w:i/>
          <w:szCs w:val="22"/>
        </w:rPr>
      </w:pPr>
      <w:r w:rsidRPr="00BB5D46">
        <w:rPr>
          <w:rFonts w:eastAsia="Times New Roman" w:cs="Times New Roman"/>
          <w:b/>
          <w:sz w:val="32"/>
          <w:szCs w:val="32"/>
          <w:lang w:val="en-US"/>
        </w:rPr>
        <w:t>Welcome to new members</w:t>
      </w:r>
    </w:p>
    <w:p w:rsidR="00AD637D" w:rsidRPr="00AD637D" w:rsidRDefault="00DF3874" w:rsidP="00AD637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lang w:val="en"/>
        </w:rPr>
      </w:pPr>
      <w:hyperlink r:id="rId203" w:history="1">
        <w:proofErr w:type="spellStart"/>
        <w:r w:rsidR="00AD637D" w:rsidRPr="00AD637D">
          <w:rPr>
            <w:rFonts w:eastAsia="Times New Roman" w:cs="Times New Roman"/>
            <w:color w:val="0000FF"/>
            <w:u w:val="single"/>
            <w:lang w:val="en"/>
          </w:rPr>
          <w:t>Ms</w:t>
        </w:r>
        <w:proofErr w:type="spellEnd"/>
        <w:r w:rsidR="00AD637D" w:rsidRPr="00AD637D">
          <w:rPr>
            <w:rFonts w:eastAsia="Times New Roman" w:cs="Times New Roman"/>
            <w:color w:val="0000FF"/>
            <w:u w:val="single"/>
            <w:lang w:val="en"/>
          </w:rPr>
          <w:t xml:space="preserve"> </w:t>
        </w:r>
        <w:proofErr w:type="spellStart"/>
        <w:r w:rsidR="00AD637D" w:rsidRPr="00AD637D">
          <w:rPr>
            <w:rFonts w:eastAsia="Times New Roman" w:cs="Times New Roman"/>
            <w:color w:val="0000FF"/>
            <w:u w:val="single"/>
            <w:lang w:val="en"/>
          </w:rPr>
          <w:t>Nour</w:t>
        </w:r>
        <w:proofErr w:type="spellEnd"/>
        <w:r w:rsidR="00AD637D" w:rsidRPr="00AD637D">
          <w:rPr>
            <w:rFonts w:eastAsia="Times New Roman" w:cs="Times New Roman"/>
            <w:color w:val="0000FF"/>
            <w:u w:val="single"/>
            <w:lang w:val="en"/>
          </w:rPr>
          <w:t xml:space="preserve"> </w:t>
        </w:r>
        <w:proofErr w:type="spellStart"/>
        <w:r w:rsidR="00AD637D" w:rsidRPr="00AD637D">
          <w:rPr>
            <w:rFonts w:eastAsia="Times New Roman" w:cs="Times New Roman"/>
            <w:color w:val="0000FF"/>
            <w:u w:val="single"/>
            <w:lang w:val="en"/>
          </w:rPr>
          <w:t>Imane</w:t>
        </w:r>
        <w:proofErr w:type="spellEnd"/>
        <w:r w:rsidR="00AD637D" w:rsidRPr="00AD637D">
          <w:rPr>
            <w:rFonts w:eastAsia="Times New Roman" w:cs="Times New Roman"/>
            <w:color w:val="0000FF"/>
            <w:u w:val="single"/>
            <w:lang w:val="en"/>
          </w:rPr>
          <w:t xml:space="preserve"> </w:t>
        </w:r>
        <w:proofErr w:type="spellStart"/>
        <w:r w:rsidR="00AD637D" w:rsidRPr="00AD637D">
          <w:rPr>
            <w:rFonts w:eastAsia="Times New Roman" w:cs="Times New Roman"/>
            <w:color w:val="0000FF"/>
            <w:u w:val="single"/>
            <w:lang w:val="en"/>
          </w:rPr>
          <w:t>Lakmache</w:t>
        </w:r>
        <w:proofErr w:type="spellEnd"/>
      </w:hyperlink>
    </w:p>
    <w:p w:rsidR="00AD637D" w:rsidRPr="00AD637D" w:rsidRDefault="00AD637D" w:rsidP="00AD637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lang w:val="en"/>
        </w:rPr>
      </w:pPr>
      <w:r w:rsidRPr="00AD637D">
        <w:rPr>
          <w:rFonts w:eastAsia="Times New Roman" w:cs="Times New Roman"/>
          <w:lang w:val="en"/>
        </w:rPr>
        <w:t xml:space="preserve">University of Algiers 2, university of Algiers 2, Algeria </w:t>
      </w:r>
    </w:p>
    <w:p w:rsidR="00AD637D" w:rsidRPr="00AD637D" w:rsidRDefault="00AD637D" w:rsidP="00AD637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lang w:val="en"/>
        </w:rPr>
      </w:pPr>
      <w:r w:rsidRPr="00AD637D">
        <w:rPr>
          <w:rFonts w:eastAsia="Times New Roman" w:cs="Times New Roman"/>
          <w:b/>
          <w:bCs/>
          <w:sz w:val="20"/>
          <w:szCs w:val="20"/>
          <w:lang w:val="en"/>
        </w:rPr>
        <w:t>Keywords:</w:t>
      </w:r>
      <w:r w:rsidRPr="00AD637D">
        <w:rPr>
          <w:rFonts w:eastAsia="Times New Roman" w:cs="Times New Roman"/>
          <w:sz w:val="20"/>
          <w:szCs w:val="20"/>
          <w:lang w:val="en"/>
        </w:rPr>
        <w:t xml:space="preserve"> well-being life satisfaction quality of life</w:t>
      </w:r>
    </w:p>
    <w:p w:rsidR="00AD637D" w:rsidRPr="00AD637D" w:rsidRDefault="00AD637D" w:rsidP="00AD637D">
      <w:pPr>
        <w:pBdr>
          <w:top w:val="single" w:sz="6" w:space="8" w:color="DDDDDD"/>
          <w:left w:val="single" w:sz="6" w:space="11" w:color="DDDDDD"/>
          <w:bottom w:val="single" w:sz="6" w:space="8" w:color="DDDDDD"/>
          <w:right w:val="single" w:sz="6" w:space="11" w:color="DDDDDD"/>
        </w:pBdr>
        <w:shd w:val="clear" w:color="auto" w:fill="FFFFFF"/>
        <w:spacing w:after="150"/>
        <w:ind w:left="720"/>
        <w:rPr>
          <w:rFonts w:eastAsia="Times New Roman" w:cs="Helvetica"/>
          <w:lang w:val="en"/>
        </w:rPr>
      </w:pPr>
    </w:p>
    <w:p w:rsidR="00AD637D" w:rsidRPr="00AD637D" w:rsidRDefault="00DF3874" w:rsidP="00AD637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hyperlink r:id="rId204" w:history="1">
        <w:proofErr w:type="spellStart"/>
        <w:r w:rsidR="00AD637D" w:rsidRPr="00AD637D">
          <w:rPr>
            <w:rFonts w:eastAsia="Times New Roman" w:cs="Helvetica"/>
            <w:color w:val="0000FF"/>
            <w:u w:val="single"/>
            <w:lang w:val="en"/>
          </w:rPr>
          <w:t>Ms</w:t>
        </w:r>
        <w:proofErr w:type="spellEnd"/>
        <w:r w:rsidR="00AD637D" w:rsidRPr="00AD637D">
          <w:rPr>
            <w:rFonts w:eastAsia="Times New Roman" w:cs="Helvetica"/>
            <w:color w:val="0000FF"/>
            <w:u w:val="single"/>
            <w:lang w:val="en"/>
          </w:rPr>
          <w:t xml:space="preserve"> Charlene Borg</w:t>
        </w:r>
      </w:hyperlink>
    </w:p>
    <w:p w:rsidR="00AD637D" w:rsidRPr="00AD637D" w:rsidRDefault="00AD637D" w:rsidP="00AD637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r w:rsidRPr="00AD637D">
        <w:rPr>
          <w:rFonts w:eastAsia="Times New Roman" w:cs="Helvetica"/>
          <w:lang w:val="en"/>
        </w:rPr>
        <w:t>Parent Relations Manager, Inspire, Malta</w:t>
      </w:r>
    </w:p>
    <w:p w:rsidR="00AD637D" w:rsidRPr="00AD637D" w:rsidRDefault="00AD637D" w:rsidP="00AD637D">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r w:rsidRPr="00AD637D">
        <w:rPr>
          <w:rFonts w:eastAsia="Times New Roman" w:cs="Helvetica"/>
          <w:b/>
          <w:bCs/>
          <w:sz w:val="20"/>
          <w:szCs w:val="20"/>
          <w:lang w:val="en"/>
        </w:rPr>
        <w:t>Keywords:</w:t>
      </w:r>
      <w:r w:rsidRPr="00AD637D">
        <w:rPr>
          <w:rFonts w:eastAsia="Times New Roman" w:cs="Helvetica"/>
          <w:sz w:val="20"/>
          <w:szCs w:val="20"/>
          <w:lang w:val="en"/>
        </w:rPr>
        <w:t xml:space="preserve"> Resources, Resilience, Openness, Awareness, Malleability.</w:t>
      </w:r>
    </w:p>
    <w:p w:rsidR="00F3120B" w:rsidRPr="00BB5D46" w:rsidRDefault="00F3120B" w:rsidP="00F3120B">
      <w:pPr>
        <w:rPr>
          <w:rFonts w:eastAsia="Calibri" w:cs="Times New Roman"/>
          <w:i/>
          <w:szCs w:val="22"/>
          <w:u w:val="single"/>
        </w:rPr>
      </w:pPr>
    </w:p>
    <w:p w:rsidR="00F3120B" w:rsidRDefault="00F3120B" w:rsidP="00F3120B">
      <w:pPr>
        <w:pStyle w:val="NormalWeb"/>
        <w:rPr>
          <w:rFonts w:ascii="Arial" w:hAnsi="Arial" w:cs="Arial"/>
          <w:b/>
          <w:color w:val="000000"/>
          <w:sz w:val="20"/>
          <w:szCs w:val="20"/>
        </w:rPr>
      </w:pPr>
      <w:r>
        <w:rPr>
          <w:rFonts w:ascii="Arial" w:hAnsi="Arial" w:cs="Arial"/>
          <w:b/>
          <w:color w:val="000000"/>
          <w:sz w:val="20"/>
          <w:szCs w:val="20"/>
        </w:rPr>
        <w:t>-----------------------</w:t>
      </w:r>
    </w:p>
    <w:p w:rsidR="00F3120B" w:rsidRPr="002C296F" w:rsidRDefault="00F3120B" w:rsidP="00F3120B">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CF028D" w:rsidRPr="00CF028D" w:rsidRDefault="00CF028D" w:rsidP="00CF028D">
      <w:pPr>
        <w:pStyle w:val="EndNoteBibliography"/>
        <w:ind w:left="720" w:hanging="720"/>
        <w:rPr>
          <w:sz w:val="22"/>
          <w:szCs w:val="22"/>
        </w:rPr>
      </w:pPr>
      <w:r w:rsidRPr="00CF028D">
        <w:rPr>
          <w:sz w:val="22"/>
          <w:szCs w:val="22"/>
        </w:rPr>
        <w:fldChar w:fldCharType="begin"/>
      </w:r>
      <w:r w:rsidRPr="00CF028D">
        <w:rPr>
          <w:sz w:val="22"/>
          <w:szCs w:val="22"/>
        </w:rPr>
        <w:instrText xml:space="preserve"> ADDIN EN.REFLIST </w:instrText>
      </w:r>
      <w:r w:rsidRPr="00CF028D">
        <w:rPr>
          <w:sz w:val="22"/>
          <w:szCs w:val="22"/>
        </w:rPr>
        <w:fldChar w:fldCharType="separate"/>
      </w:r>
      <w:r w:rsidRPr="00CF028D">
        <w:rPr>
          <w:sz w:val="22"/>
          <w:szCs w:val="22"/>
        </w:rPr>
        <w:t xml:space="preserve">Brickman, P., &amp; Campbell, D. T. (1971). Hedonic relativism and planning the good society. In M. H. Appley (Ed.), </w:t>
      </w:r>
      <w:r w:rsidRPr="00CF028D">
        <w:rPr>
          <w:i/>
          <w:sz w:val="22"/>
          <w:szCs w:val="22"/>
        </w:rPr>
        <w:t>Adaptation-level theory: A symposium</w:t>
      </w:r>
      <w:r w:rsidRPr="00CF028D">
        <w:rPr>
          <w:sz w:val="22"/>
          <w:szCs w:val="22"/>
        </w:rPr>
        <w:t xml:space="preserve"> (pp. 287-302). New York: Academic Press.</w:t>
      </w:r>
    </w:p>
    <w:p w:rsidR="00CF028D" w:rsidRPr="00CF028D" w:rsidRDefault="00CF028D" w:rsidP="00CF028D">
      <w:pPr>
        <w:pStyle w:val="EndNoteBibliography"/>
        <w:ind w:left="720" w:hanging="720"/>
        <w:rPr>
          <w:sz w:val="22"/>
          <w:szCs w:val="22"/>
        </w:rPr>
      </w:pPr>
      <w:r w:rsidRPr="00CF028D">
        <w:rPr>
          <w:sz w:val="22"/>
          <w:szCs w:val="22"/>
        </w:rPr>
        <w:lastRenderedPageBreak/>
        <w:t xml:space="preserve">Capic, T., Li, N., &amp; Cummins, R. A. (2018). Confirmation of Subjective Wellbeing Set-points: Foundational for Subjective Social Indicators. </w:t>
      </w:r>
      <w:r w:rsidRPr="00CF028D">
        <w:rPr>
          <w:i/>
          <w:sz w:val="22"/>
          <w:szCs w:val="22"/>
        </w:rPr>
        <w:t>Social Indicators Research, 137</w:t>
      </w:r>
      <w:r w:rsidRPr="00CF028D">
        <w:rPr>
          <w:sz w:val="22"/>
          <w:szCs w:val="22"/>
        </w:rPr>
        <w:t xml:space="preserve">(1), 1-28. Retrieved from 10.1007/s11205-017-1585-5. </w:t>
      </w:r>
    </w:p>
    <w:p w:rsidR="00CF028D" w:rsidRPr="00CF028D" w:rsidRDefault="00CF028D" w:rsidP="00CF028D">
      <w:pPr>
        <w:pStyle w:val="EndNoteBibliography"/>
        <w:ind w:left="720" w:hanging="720"/>
        <w:rPr>
          <w:sz w:val="22"/>
          <w:szCs w:val="22"/>
        </w:rPr>
      </w:pPr>
      <w:r w:rsidRPr="00CF028D">
        <w:rPr>
          <w:sz w:val="22"/>
          <w:szCs w:val="22"/>
        </w:rPr>
        <w:t xml:space="preserve">Clark, A. E., &amp; Georgellis, Y. (2013). Back to baseline in Britain: adaptation in the British household panel survey. </w:t>
      </w:r>
      <w:r w:rsidRPr="00CF028D">
        <w:rPr>
          <w:i/>
          <w:sz w:val="22"/>
          <w:szCs w:val="22"/>
        </w:rPr>
        <w:t>Economica, 80</w:t>
      </w:r>
      <w:r w:rsidRPr="00CF028D">
        <w:rPr>
          <w:sz w:val="22"/>
          <w:szCs w:val="22"/>
        </w:rPr>
        <w:t xml:space="preserve">(319), 496-512. </w:t>
      </w:r>
    </w:p>
    <w:p w:rsidR="00CF028D" w:rsidRPr="00CF028D" w:rsidRDefault="00CF028D" w:rsidP="00CF028D">
      <w:pPr>
        <w:pStyle w:val="EndNoteBibliography"/>
        <w:ind w:left="720" w:hanging="720"/>
        <w:rPr>
          <w:sz w:val="22"/>
          <w:szCs w:val="22"/>
        </w:rPr>
      </w:pPr>
      <w:r w:rsidRPr="00CF028D">
        <w:rPr>
          <w:sz w:val="22"/>
          <w:szCs w:val="22"/>
        </w:rPr>
        <w:t xml:space="preserve">Cummins, R. A., Li, L., Wooden, M., &amp; Stokes, M. (2014a). A demonstration of set-points for subjective wellbeing. </w:t>
      </w:r>
      <w:r w:rsidRPr="00CF028D">
        <w:rPr>
          <w:i/>
          <w:sz w:val="22"/>
          <w:szCs w:val="22"/>
        </w:rPr>
        <w:t>Journal of Happiness Studies, 15</w:t>
      </w:r>
      <w:r w:rsidRPr="00CF028D">
        <w:rPr>
          <w:sz w:val="22"/>
          <w:szCs w:val="22"/>
        </w:rPr>
        <w:t>, 183-206. doi:10.1007/s10902-013-9444-9</w:t>
      </w:r>
    </w:p>
    <w:p w:rsidR="00CF028D" w:rsidRPr="00CF028D" w:rsidRDefault="00CF028D" w:rsidP="00CF028D">
      <w:pPr>
        <w:pStyle w:val="EndNoteBibliography"/>
        <w:ind w:left="720" w:hanging="720"/>
        <w:rPr>
          <w:sz w:val="22"/>
          <w:szCs w:val="22"/>
        </w:rPr>
      </w:pPr>
      <w:r w:rsidRPr="00CF028D">
        <w:rPr>
          <w:sz w:val="22"/>
          <w:szCs w:val="22"/>
        </w:rPr>
        <w:t xml:space="preserve">Lucas, R. E. (2007). Adaptation and the set-point model of Subjective Well-Being: Does happiness change after major life events? </w:t>
      </w:r>
      <w:r w:rsidRPr="00CF028D">
        <w:rPr>
          <w:i/>
          <w:sz w:val="22"/>
          <w:szCs w:val="22"/>
        </w:rPr>
        <w:t>Current Directions in Psychological Science, 16</w:t>
      </w:r>
      <w:r w:rsidRPr="00CF028D">
        <w:rPr>
          <w:sz w:val="22"/>
          <w:szCs w:val="22"/>
        </w:rPr>
        <w:t xml:space="preserve">, 75-79. </w:t>
      </w:r>
    </w:p>
    <w:p w:rsidR="00CF028D" w:rsidRPr="00CF028D" w:rsidRDefault="00CF028D" w:rsidP="00CF028D">
      <w:pPr>
        <w:pStyle w:val="EndNoteBibliography"/>
        <w:ind w:left="720" w:hanging="720"/>
        <w:rPr>
          <w:sz w:val="22"/>
          <w:szCs w:val="22"/>
        </w:rPr>
      </w:pPr>
      <w:r w:rsidRPr="00CF028D">
        <w:rPr>
          <w:sz w:val="22"/>
          <w:szCs w:val="22"/>
        </w:rPr>
        <w:t xml:space="preserve">Lucas, R. E., Clark, A. E., Georgellis, Y., &amp; Diener, E. (2003). Reexamining adaptation and the set point model of happiness: Reactions to changes in marital status. </w:t>
      </w:r>
      <w:r w:rsidRPr="00CF028D">
        <w:rPr>
          <w:i/>
          <w:sz w:val="22"/>
          <w:szCs w:val="22"/>
        </w:rPr>
        <w:t xml:space="preserve">Journal of Personality and Social Psychology, 84 </w:t>
      </w:r>
      <w:r w:rsidRPr="00CF028D">
        <w:rPr>
          <w:sz w:val="22"/>
          <w:szCs w:val="22"/>
        </w:rPr>
        <w:t>(3), 527-539. doi:10.1037/0022-3514.84.3.527</w:t>
      </w:r>
    </w:p>
    <w:p w:rsidR="00CF028D" w:rsidRPr="00CF028D" w:rsidRDefault="00CF028D" w:rsidP="00CF028D">
      <w:pPr>
        <w:pStyle w:val="EndNoteBibliography"/>
        <w:ind w:left="720" w:hanging="720"/>
        <w:rPr>
          <w:sz w:val="22"/>
          <w:szCs w:val="22"/>
        </w:rPr>
      </w:pPr>
      <w:r w:rsidRPr="00CF028D">
        <w:rPr>
          <w:sz w:val="22"/>
          <w:szCs w:val="22"/>
        </w:rPr>
        <w:t xml:space="preserve">Qari, S. (2014). Marriage, adaptation and happiness: Are there long-lasting gains to marriage? </w:t>
      </w:r>
      <w:r w:rsidRPr="00CF028D">
        <w:rPr>
          <w:i/>
          <w:sz w:val="22"/>
          <w:szCs w:val="22"/>
        </w:rPr>
        <w:t>Journal of Behavioral and Experimental Economics, 50</w:t>
      </w:r>
      <w:r w:rsidRPr="00CF028D">
        <w:rPr>
          <w:sz w:val="22"/>
          <w:szCs w:val="22"/>
        </w:rPr>
        <w:t xml:space="preserve">, 29-39. </w:t>
      </w:r>
    </w:p>
    <w:p w:rsidR="00CF028D" w:rsidRPr="00CF028D" w:rsidRDefault="00CF028D" w:rsidP="00CF028D">
      <w:pPr>
        <w:pStyle w:val="EndNoteBibliography"/>
        <w:ind w:left="720" w:hanging="720"/>
        <w:rPr>
          <w:sz w:val="22"/>
          <w:szCs w:val="22"/>
        </w:rPr>
      </w:pPr>
      <w:r w:rsidRPr="00CF028D">
        <w:rPr>
          <w:sz w:val="22"/>
          <w:szCs w:val="22"/>
        </w:rPr>
        <w:t xml:space="preserve">Suh, E., Diener, E., &amp; Frujita, F. (1996). Events and subjective well-being: Only recent events matter. </w:t>
      </w:r>
      <w:r w:rsidRPr="00CF028D">
        <w:rPr>
          <w:i/>
          <w:sz w:val="22"/>
          <w:szCs w:val="22"/>
        </w:rPr>
        <w:t>Journal of Personality and Social Psychology, 70</w:t>
      </w:r>
      <w:r w:rsidRPr="00CF028D">
        <w:rPr>
          <w:sz w:val="22"/>
          <w:szCs w:val="22"/>
        </w:rPr>
        <w:t>(5), 1091-1102. doi:10.1037//0022-3514.70.5.1091</w:t>
      </w:r>
    </w:p>
    <w:p w:rsidR="00CF028D" w:rsidRDefault="00CF028D" w:rsidP="00CF028D">
      <w:pPr>
        <w:rPr>
          <w:rFonts w:eastAsia="Arial" w:cs="Times New Roman"/>
          <w:b/>
          <w:sz w:val="28"/>
          <w:szCs w:val="28"/>
        </w:rPr>
      </w:pPr>
      <w:r w:rsidRPr="00CF028D">
        <w:rPr>
          <w:sz w:val="22"/>
          <w:szCs w:val="22"/>
        </w:rPr>
        <w:fldChar w:fldCharType="end"/>
      </w:r>
    </w:p>
    <w:p w:rsidR="00F3120B" w:rsidRDefault="00F3120B" w:rsidP="00A000D2">
      <w:pPr>
        <w:rPr>
          <w:rFonts w:eastAsia="Arial" w:cs="Times New Roman"/>
          <w:b/>
          <w:sz w:val="28"/>
          <w:szCs w:val="28"/>
        </w:rPr>
      </w:pPr>
    </w:p>
    <w:p w:rsidR="00A000D2" w:rsidRPr="00BB5D46" w:rsidRDefault="00A000D2" w:rsidP="00A000D2">
      <w:pPr>
        <w:rPr>
          <w:rFonts w:eastAsia="Arial" w:cs="Times New Roman"/>
          <w:b/>
          <w:sz w:val="28"/>
          <w:szCs w:val="28"/>
        </w:rPr>
      </w:pPr>
      <w:proofErr w:type="spellStart"/>
      <w:r w:rsidRPr="00AD637D">
        <w:rPr>
          <w:rFonts w:eastAsia="Arial" w:cs="Times New Roman"/>
          <w:b/>
          <w:sz w:val="28"/>
          <w:szCs w:val="28"/>
          <w:highlight w:val="green"/>
        </w:rPr>
        <w:t>ACQol</w:t>
      </w:r>
      <w:proofErr w:type="spellEnd"/>
      <w:r w:rsidRPr="00AD637D">
        <w:rPr>
          <w:rFonts w:eastAsia="Arial" w:cs="Times New Roman"/>
          <w:b/>
          <w:sz w:val="28"/>
          <w:szCs w:val="28"/>
          <w:highlight w:val="green"/>
        </w:rPr>
        <w:t xml:space="preserve"> Bulletin Vol 3/</w:t>
      </w:r>
      <w:r w:rsidR="00700975" w:rsidRPr="00AD637D">
        <w:rPr>
          <w:rFonts w:eastAsia="Arial" w:cs="Times New Roman"/>
          <w:b/>
          <w:sz w:val="28"/>
          <w:szCs w:val="28"/>
          <w:highlight w:val="green"/>
        </w:rPr>
        <w:t>29</w:t>
      </w:r>
      <w:r w:rsidRPr="00AD637D">
        <w:rPr>
          <w:rFonts w:eastAsia="Arial" w:cs="Times New Roman"/>
          <w:b/>
          <w:sz w:val="28"/>
          <w:szCs w:val="28"/>
          <w:highlight w:val="green"/>
        </w:rPr>
        <w:t xml:space="preserve">: </w:t>
      </w:r>
      <w:r w:rsidR="00700975" w:rsidRPr="00AD637D">
        <w:rPr>
          <w:rFonts w:eastAsia="Arial" w:cs="Times New Roman"/>
          <w:b/>
          <w:sz w:val="28"/>
          <w:szCs w:val="28"/>
          <w:highlight w:val="green"/>
        </w:rPr>
        <w:t>180719</w:t>
      </w:r>
    </w:p>
    <w:p w:rsidR="00A000D2" w:rsidRPr="00BB5D46" w:rsidRDefault="00A000D2" w:rsidP="00A000D2">
      <w:pPr>
        <w:rPr>
          <w:rFonts w:eastAsia="Arial" w:cs="Times New Roman"/>
          <w:b/>
          <w:sz w:val="28"/>
          <w:szCs w:val="28"/>
        </w:rPr>
      </w:pPr>
      <w:r w:rsidRPr="00BB5D46">
        <w:rPr>
          <w:rFonts w:eastAsia="Arial" w:cs="Times New Roman"/>
          <w:b/>
          <w:sz w:val="28"/>
          <w:szCs w:val="28"/>
        </w:rPr>
        <w:t>Bulletin of the Australian Centre on Quality of Life</w:t>
      </w:r>
    </w:p>
    <w:p w:rsidR="00A000D2" w:rsidRDefault="00DF3874" w:rsidP="00A000D2">
      <w:pPr>
        <w:rPr>
          <w:rFonts w:eastAsia="Arial" w:cs="Times New Roman"/>
          <w:color w:val="0563C1"/>
          <w:u w:val="single"/>
        </w:rPr>
      </w:pPr>
      <w:hyperlink r:id="rId205" w:history="1">
        <w:r w:rsidR="00A000D2" w:rsidRPr="00BB5D46">
          <w:rPr>
            <w:rFonts w:eastAsia="Arial" w:cs="Times New Roman"/>
            <w:color w:val="0563C1"/>
            <w:u w:val="single"/>
          </w:rPr>
          <w:t>http://www.acqol.com.au/</w:t>
        </w:r>
      </w:hyperlink>
    </w:p>
    <w:p w:rsidR="00A000D2" w:rsidRPr="00AE19B8" w:rsidRDefault="00A000D2" w:rsidP="00A000D2">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700975" w:rsidRDefault="00A000D2" w:rsidP="00A000D2">
      <w:pPr>
        <w:rPr>
          <w:rFonts w:eastAsia="Arial" w:cs="Times New Roman"/>
        </w:rPr>
      </w:pPr>
      <w:r w:rsidRPr="00BB5D46">
        <w:rPr>
          <w:rFonts w:eastAsia="Arial" w:cs="Times New Roman"/>
          <w:b/>
        </w:rPr>
        <w:t>Back-issues o</w:t>
      </w:r>
      <w:r w:rsidR="00700975">
        <w:rPr>
          <w:rFonts w:eastAsia="Arial" w:cs="Times New Roman"/>
          <w:b/>
        </w:rPr>
        <w:t xml:space="preserve">f the Bulletin are available at </w:t>
      </w:r>
      <w:hyperlink r:id="rId206" w:anchor="bulletins" w:history="1">
        <w:r w:rsidR="00700975" w:rsidRPr="00830FB7">
          <w:rPr>
            <w:rStyle w:val="Hyperlink"/>
            <w:rFonts w:eastAsia="Arial" w:cs="Times New Roman"/>
          </w:rPr>
          <w:t>http://www.acqol.com.au/publications#bulletins</w:t>
        </w:r>
      </w:hyperlink>
    </w:p>
    <w:p w:rsidR="00700975" w:rsidRPr="00700975" w:rsidRDefault="00700975" w:rsidP="00A000D2">
      <w:pPr>
        <w:rPr>
          <w:rFonts w:eastAsia="Arial" w:cs="Times New Roman"/>
          <w:color w:val="0563C1"/>
          <w:u w:val="single"/>
        </w:rPr>
      </w:pPr>
    </w:p>
    <w:p w:rsidR="00A000D2" w:rsidRPr="00BB5D46" w:rsidRDefault="00A000D2" w:rsidP="00A000D2">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A000D2" w:rsidRPr="00BB5D46" w:rsidRDefault="00A000D2" w:rsidP="00A000D2">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A000D2" w:rsidRPr="00BB5D46" w:rsidRDefault="00A000D2" w:rsidP="00A000D2">
      <w:pPr>
        <w:rPr>
          <w:rFonts w:eastAsia="Arial" w:cs="Times New Roman"/>
        </w:rPr>
      </w:pPr>
    </w:p>
    <w:p w:rsidR="00A000D2" w:rsidRPr="00BB5D46" w:rsidRDefault="00A000D2" w:rsidP="00A000D2">
      <w:pPr>
        <w:jc w:val="center"/>
        <w:rPr>
          <w:rFonts w:eastAsia="Arial" w:cs="Times New Roman"/>
          <w:b/>
          <w:sz w:val="32"/>
          <w:szCs w:val="32"/>
        </w:rPr>
      </w:pPr>
      <w:r w:rsidRPr="00BB5D46">
        <w:rPr>
          <w:rFonts w:eastAsia="Arial" w:cs="Times New Roman"/>
          <w:b/>
          <w:sz w:val="32"/>
          <w:szCs w:val="32"/>
        </w:rPr>
        <w:t>Paper for private study</w:t>
      </w:r>
    </w:p>
    <w:p w:rsidR="00A000D2" w:rsidRDefault="00A000D2" w:rsidP="00A000D2">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AD637D" w:rsidRDefault="00AD637D" w:rsidP="0014419E">
      <w:pPr>
        <w:jc w:val="center"/>
        <w:rPr>
          <w:rFonts w:eastAsia="Arial" w:cs="Times New Roman"/>
        </w:rPr>
      </w:pPr>
    </w:p>
    <w:p w:rsidR="0014419E" w:rsidRPr="007F1932" w:rsidRDefault="0014419E" w:rsidP="0014419E">
      <w:pPr>
        <w:jc w:val="center"/>
        <w:rPr>
          <w:b/>
          <w:sz w:val="28"/>
          <w:szCs w:val="28"/>
        </w:rPr>
      </w:pPr>
      <w:r w:rsidRPr="007F1932">
        <w:rPr>
          <w:b/>
          <w:sz w:val="28"/>
          <w:szCs w:val="28"/>
        </w:rPr>
        <w:t>Plagiarism</w:t>
      </w:r>
      <w:r>
        <w:rPr>
          <w:b/>
          <w:sz w:val="28"/>
          <w:szCs w:val="28"/>
        </w:rPr>
        <w:t xml:space="preserve">: </w:t>
      </w:r>
      <w:proofErr w:type="spellStart"/>
      <w:r>
        <w:rPr>
          <w:b/>
          <w:sz w:val="28"/>
          <w:szCs w:val="28"/>
        </w:rPr>
        <w:t>m</w:t>
      </w:r>
      <w:r w:rsidRPr="007F1932">
        <w:rPr>
          <w:b/>
          <w:sz w:val="28"/>
          <w:szCs w:val="28"/>
        </w:rPr>
        <w:t>ea</w:t>
      </w:r>
      <w:proofErr w:type="spellEnd"/>
      <w:r w:rsidRPr="007F1932">
        <w:rPr>
          <w:b/>
          <w:sz w:val="28"/>
          <w:szCs w:val="28"/>
        </w:rPr>
        <w:t xml:space="preserve"> culpa</w:t>
      </w:r>
    </w:p>
    <w:p w:rsidR="0014419E" w:rsidRPr="007F1932" w:rsidRDefault="0014419E" w:rsidP="0014419E">
      <w:pPr>
        <w:jc w:val="center"/>
      </w:pPr>
      <w:r w:rsidRPr="007F1932">
        <w:t>Robert A. Cummins</w:t>
      </w:r>
    </w:p>
    <w:p w:rsidR="0014419E" w:rsidRDefault="0014419E" w:rsidP="0014419E"/>
    <w:p w:rsidR="0014419E" w:rsidRDefault="0014419E" w:rsidP="0014419E">
      <w:pPr>
        <w:rPr>
          <w:bCs/>
        </w:rPr>
      </w:pPr>
      <w:r>
        <w:t>Wikipedia sources ‘</w:t>
      </w:r>
      <w:proofErr w:type="spellStart"/>
      <w:r>
        <w:t>Turnitin</w:t>
      </w:r>
      <w:proofErr w:type="spellEnd"/>
      <w:r>
        <w:t>’ in listing 10 ‘</w:t>
      </w:r>
      <w:r w:rsidRPr="00F72BF9">
        <w:rPr>
          <w:bCs/>
        </w:rPr>
        <w:t>Common forms of student plagiarism’</w:t>
      </w:r>
      <w:r>
        <w:rPr>
          <w:bCs/>
        </w:rPr>
        <w:t>. The ninth is ‘</w:t>
      </w:r>
      <w:r w:rsidRPr="00F72BF9">
        <w:rPr>
          <w:bCs/>
        </w:rPr>
        <w:t>Inaccurately citing the source</w:t>
      </w:r>
      <w:r>
        <w:rPr>
          <w:bCs/>
        </w:rPr>
        <w:t xml:space="preserve">’ and a common cause is that the student has not, in fact, read the document they are citing. Instead, they have reproduced an opinion about the cited document, as described by another author. I have railed against such practice all my academic life, warning students of the darkness that will fall on them unless they personally read the sources they cite. Now the sin is mine: </w:t>
      </w:r>
      <w:proofErr w:type="spellStart"/>
      <w:r>
        <w:rPr>
          <w:bCs/>
        </w:rPr>
        <w:t>mea</w:t>
      </w:r>
      <w:proofErr w:type="spellEnd"/>
      <w:r>
        <w:rPr>
          <w:bCs/>
        </w:rPr>
        <w:t xml:space="preserve"> culpa.</w:t>
      </w:r>
    </w:p>
    <w:p w:rsidR="0014419E" w:rsidRDefault="0014419E" w:rsidP="0014419E">
      <w:pPr>
        <w:rPr>
          <w:bCs/>
        </w:rPr>
      </w:pPr>
    </w:p>
    <w:p w:rsidR="0014419E" w:rsidRPr="00657069" w:rsidRDefault="0014419E" w:rsidP="0014419E">
      <w:pPr>
        <w:rPr>
          <w:b/>
          <w:bCs/>
        </w:rPr>
      </w:pPr>
      <w:r w:rsidRPr="00657069">
        <w:rPr>
          <w:b/>
          <w:bCs/>
        </w:rPr>
        <w:t>Background</w:t>
      </w:r>
    </w:p>
    <w:p w:rsidR="0014419E" w:rsidRDefault="0014419E" w:rsidP="0014419E">
      <w:r>
        <w:t xml:space="preserve">I was considering my reply to </w:t>
      </w:r>
      <w:r w:rsidRPr="00BA7C71">
        <w:t xml:space="preserve">Juanita Wood </w:t>
      </w:r>
      <w:hyperlink r:id="rId207" w:history="1">
        <w:r w:rsidRPr="006433CB">
          <w:rPr>
            <w:rStyle w:val="Hyperlink"/>
          </w:rPr>
          <w:t>juanita12@bigpond.com</w:t>
        </w:r>
      </w:hyperlink>
      <w:r>
        <w:t xml:space="preserve">, in the previous issue of the Bulletin. She had written </w:t>
      </w:r>
      <w:r w:rsidRPr="00BA7C71">
        <w:t>“Stress can become productive and useful. It fires up the brain to concentrate on the matter at hand. It can be negative when it mak</w:t>
      </w:r>
      <w:r>
        <w:t xml:space="preserve">es life seem too hard to manage.” Her words reminded me of the </w:t>
      </w:r>
      <w:r w:rsidRPr="00BA7C71">
        <w:t xml:space="preserve">‘Yerkes-Dodson Law’ </w:t>
      </w:r>
      <w:r w:rsidRPr="00BA7C71">
        <w:fldChar w:fldCharType="begin"/>
      </w:r>
      <w:r w:rsidRPr="00BA7C71">
        <w:instrText xml:space="preserve"> ADDIN EN.CITE &lt;EndNote&gt;&lt;Cite&gt;&lt;Author&gt;Yerkes&lt;/Author&gt;&lt;Year&gt;1908&lt;/Year&gt;&lt;RecNum&gt;3885&lt;/RecNum&gt;&lt;DisplayText&gt;(Yerkes &amp;amp; Dodson, 1908)&lt;/DisplayText&gt;&lt;record&gt;&lt;rec-number&gt;3885&lt;/rec-number&gt;&lt;foreign-keys&gt;&lt;key app="EN" db-id="z2xarpe9cfrvp4ezdxk5ddx9dsrzr05f22sa" timestamp="1562649642"&gt;3885&lt;/key&gt;&lt;/foreign-keys&gt;&lt;ref-type name="Journal Article"&gt;17&lt;/ref-type&gt;&lt;contributors&gt;&lt;authors&gt;&lt;author&gt;Yerkes, R. M.&lt;/author&gt;&lt;author&gt;Dodson, J. D.&lt;/author&gt;&lt;/authors&gt;&lt;/contributors&gt;&lt;titles&gt;&lt;title&gt;The relation of strength of stimulus to rapidity of habit-formation&lt;/title&gt;&lt;secondary-title&gt;Journal of Comparative Neurology and Psychology&lt;/secondary-title&gt;&lt;/titles&gt;&lt;periodical&gt;&lt;full-title&gt;Journal of Comparative Neurology and Psychology&lt;/full-title&gt;&lt;/periodical&gt;&lt;pages&gt;459–482&lt;/pages&gt;&lt;volume&gt;18&lt;/volume&gt;&lt;number&gt;5&lt;/number&gt;&lt;dates&gt;&lt;year&gt;1908&lt;/year&gt;&lt;/dates&gt;&lt;urls&gt;&lt;/urls&gt;&lt;electronic-resource-num&gt;10.1002/cne.920180503&lt;/electronic-resource-num&gt;&lt;/record&gt;&lt;/Cite&gt;&lt;/EndNote&gt;</w:instrText>
      </w:r>
      <w:r w:rsidRPr="00BA7C71">
        <w:fldChar w:fldCharType="separate"/>
      </w:r>
      <w:r w:rsidRPr="00BA7C71">
        <w:t>(Yerkes &amp; Dodson, 1908)</w:t>
      </w:r>
      <w:r w:rsidRPr="00BA7C71">
        <w:fldChar w:fldCharType="end"/>
      </w:r>
      <w:r>
        <w:t xml:space="preserve">, commonly cited in first-year general psychology text-books. So, with this reference in </w:t>
      </w:r>
      <w:r>
        <w:lastRenderedPageBreak/>
        <w:t>mind I wrote</w:t>
      </w:r>
      <w:r w:rsidR="005357D5">
        <w:t>:</w:t>
      </w:r>
      <w:r>
        <w:t xml:space="preserve"> </w:t>
      </w:r>
      <w:r>
        <w:rPr>
          <w:b/>
        </w:rPr>
        <w:t>“</w:t>
      </w:r>
      <w:r w:rsidRPr="00BA7C71">
        <w:t>It was the era of ‘Law’ formation in the physical sciences, and two psychological researchers were not to be outdone. Their</w:t>
      </w:r>
      <w:r>
        <w:t xml:space="preserve"> law</w:t>
      </w:r>
      <w:r w:rsidRPr="00BA7C71">
        <w:t xml:space="preserve"> states that psychological performance increases with increased arousal (stress), but only up to a point. As arousal continues to increase, performance decreases once again. Rather amazingly, they were correct and their ‘Law’ still finds a place in more recent research </w:t>
      </w:r>
      <w:r w:rsidRPr="00BA7C71">
        <w:fldChar w:fldCharType="begin"/>
      </w:r>
      <w:r w:rsidR="007B5802">
        <w:instrText xml:space="preserve"> ADDIN EN.CITE &lt;EndNote&gt;&lt;Cite&gt;&lt;Author&gt;Anderson&lt;/Author&gt;&lt;Year&gt;1989&lt;/Year&gt;&lt;RecNum&gt;3887&lt;/RecNum&gt;&lt;Prefix&gt;e.g. &lt;/Prefix&gt;&lt;DisplayText&gt;(e.g. Anderson, Revelle, &amp;amp; Lynch, 1989)&lt;/DisplayText&gt;&lt;record&gt;&lt;rec-number&gt;3887&lt;/rec-number&gt;&lt;foreign-keys&gt;&lt;key app="EN" db-id="z2xarpe9cfrvp4ezdxk5ddx9dsrzr05f22sa" timestamp="1563348087"&gt;3887&lt;/key&gt;&lt;/foreign-keys&gt;&lt;ref-type name="Journal Article"&gt;17&lt;/ref-type&gt;&lt;contributors&gt;&lt;authors&gt;&lt;author&gt;Anderson, K. J.&lt;/author&gt;&lt;author&gt;Revelle, William&lt;/author&gt;&lt;author&gt;Lynch, Mary Jean&lt;/author&gt;&lt;/authors&gt;&lt;/contributors&gt;&lt;titles&gt;&lt;title&gt;Caffeine, impulsivity, and memory scanning: A comparison of two explanations for the Yerkes-Dodson Effect&lt;/title&gt;&lt;secondary-title&gt;Motivation and Emotion&lt;/secondary-title&gt;&lt;/titles&gt;&lt;periodical&gt;&lt;full-title&gt;Motivation and Emotion&lt;/full-title&gt;&lt;/periodical&gt;&lt;pages&gt;1-20&lt;/pages&gt;&lt;volume&gt;13&lt;/volume&gt;&lt;number&gt;1&lt;/number&gt;&lt;dates&gt;&lt;year&gt;1989&lt;/year&gt;&lt;/dates&gt;&lt;isbn&gt;0146-7239&lt;/isbn&gt;&lt;urls&gt;&lt;/urls&gt;&lt;/record&gt;&lt;/Cite&gt;&lt;/EndNote&gt;</w:instrText>
      </w:r>
      <w:r w:rsidRPr="00BA7C71">
        <w:fldChar w:fldCharType="separate"/>
      </w:r>
      <w:r w:rsidRPr="00BA7C71">
        <w:rPr>
          <w:noProof/>
        </w:rPr>
        <w:t>(e.g. Anderson, Revelle, &amp; Lynch, 1989)</w:t>
      </w:r>
      <w:r w:rsidRPr="00BA7C71">
        <w:fldChar w:fldCharType="end"/>
      </w:r>
      <w:r>
        <w:t>”</w:t>
      </w:r>
      <w:r w:rsidRPr="00BA7C71">
        <w:t>.</w:t>
      </w:r>
      <w:r>
        <w:t xml:space="preserve"> Their 1908 paper has received over 7,000 citations.</w:t>
      </w:r>
    </w:p>
    <w:p w:rsidR="0014419E" w:rsidRDefault="0014419E" w:rsidP="0014419E"/>
    <w:p w:rsidR="0014419E" w:rsidRDefault="0014419E" w:rsidP="0014419E">
      <w:r>
        <w:t xml:space="preserve">The Deakin University library has substantial access to reference material, and I am used to being able to download what I need. However, on this occasion the 1908 reference was not available and I had to order it. But by my deadline, when </w:t>
      </w:r>
      <w:r w:rsidR="00747BE4">
        <w:t xml:space="preserve">I </w:t>
      </w:r>
      <w:r>
        <w:t>needed to despatch that issue of the Bulletin, the paper had not arrived. What to do? Well, to be true to my insistence regarding student advice, I should have not proceeded. But my opportunity to reply to Juanita was effectively limited to that issue, being in the context of our ongoing discussion of stress. So, I checked my sources in two ways. One was to see what Wikipedia had to say, the other was to consult some first-year psychology textbooks. Both confirmed my memory, so I sent out</w:t>
      </w:r>
      <w:r w:rsidR="005357D5">
        <w:t xml:space="preserve"> that issue of</w:t>
      </w:r>
      <w:r>
        <w:t xml:space="preserve"> the Bulletin.</w:t>
      </w:r>
    </w:p>
    <w:p w:rsidR="0014419E" w:rsidRDefault="0014419E" w:rsidP="0014419E"/>
    <w:p w:rsidR="0014419E" w:rsidRPr="00657069" w:rsidRDefault="0014419E" w:rsidP="0014419E">
      <w:pPr>
        <w:rPr>
          <w:b/>
        </w:rPr>
      </w:pPr>
      <w:r w:rsidRPr="00657069">
        <w:rPr>
          <w:b/>
        </w:rPr>
        <w:t>Yerkes &amp; Dodson, 1908</w:t>
      </w:r>
    </w:p>
    <w:p w:rsidR="0014419E" w:rsidRDefault="005357D5" w:rsidP="0014419E">
      <w:r>
        <w:t>The</w:t>
      </w:r>
      <w:r w:rsidR="0014419E">
        <w:t xml:space="preserve"> requested paper (see attached) arrived the following day. My </w:t>
      </w:r>
      <w:r>
        <w:t xml:space="preserve">interest was immediately piqued because the authors make no claim to have discovered a ‘Law’. Goodness knows who invented that attribution. I also noted problems with the paper likely to affect the reported findings. My </w:t>
      </w:r>
      <w:r w:rsidR="0014419E">
        <w:t>summary is as follows:</w:t>
      </w:r>
    </w:p>
    <w:p w:rsidR="0014419E" w:rsidRDefault="0014419E" w:rsidP="0014419E"/>
    <w:p w:rsidR="0014419E" w:rsidRPr="000732CF" w:rsidRDefault="0014419E" w:rsidP="0014419E">
      <w:pPr>
        <w:rPr>
          <w:b/>
        </w:rPr>
      </w:pPr>
      <w:r w:rsidRPr="000732CF">
        <w:rPr>
          <w:b/>
        </w:rPr>
        <w:t>The study design</w:t>
      </w:r>
    </w:p>
    <w:p w:rsidR="0014419E" w:rsidRDefault="0014419E" w:rsidP="0014419E">
      <w:r>
        <w:t xml:space="preserve">The paper describes a set of three studies involving the aversive conditioning of mice. They were presented with the option of entering either a black box (their preference) or a white box. Through the use of electric shocks to their feet, they learned to avoid entering the black box. The number of trials taken to achieve a reliable switch of preference, from black to white, was used as the rate of learning. The experimenters manipulated two variables. One was the intensity of the shock (weak-125 units), medium (300 units), strong (500 units). The other was the degree of relative brightness between the boxes (their level of discrimination). For </w:t>
      </w:r>
      <w:r w:rsidRPr="007A7194">
        <w:rPr>
          <w:i/>
          <w:u w:val="single"/>
        </w:rPr>
        <w:t>study 1</w:t>
      </w:r>
      <w:r>
        <w:t xml:space="preserve"> the level of brightness of both boxes was the same, as measured by the amount of light entering the box. However, the discriminability of the boxes, one white and the other black, was obvious.  In </w:t>
      </w:r>
      <w:r w:rsidRPr="007A7194">
        <w:rPr>
          <w:i/>
          <w:u w:val="single"/>
        </w:rPr>
        <w:t>study 2</w:t>
      </w:r>
      <w:r>
        <w:t xml:space="preserve"> the brightness of the white box was increased, thereby increasing the perceived differences between the boxes. In </w:t>
      </w:r>
      <w:r w:rsidRPr="007A7194">
        <w:rPr>
          <w:i/>
          <w:u w:val="single"/>
        </w:rPr>
        <w:t>study 3</w:t>
      </w:r>
      <w:r>
        <w:t xml:space="preserve"> the brightness of the white box was decreased below the level of study 2, to make disc</w:t>
      </w:r>
      <w:r w:rsidRPr="003C0C1A">
        <w:t>ri</w:t>
      </w:r>
      <w:r>
        <w:t>m</w:t>
      </w:r>
      <w:r w:rsidRPr="003C0C1A">
        <w:t>i</w:t>
      </w:r>
      <w:r>
        <w:t>na</w:t>
      </w:r>
      <w:r w:rsidRPr="003C0C1A">
        <w:t>ti</w:t>
      </w:r>
      <w:r>
        <w:t>o</w:t>
      </w:r>
      <w:r w:rsidRPr="003C0C1A">
        <w:t xml:space="preserve">n </w:t>
      </w:r>
      <w:r>
        <w:t>between the boxes</w:t>
      </w:r>
      <w:r w:rsidRPr="003C0C1A">
        <w:t xml:space="preserve"> </w:t>
      </w:r>
      <w:r>
        <w:t>mo</w:t>
      </w:r>
      <w:r w:rsidRPr="003C0C1A">
        <w:t xml:space="preserve">re </w:t>
      </w:r>
      <w:r>
        <w:t>d</w:t>
      </w:r>
      <w:r w:rsidRPr="003C0C1A">
        <w:t>ifficu</w:t>
      </w:r>
      <w:r>
        <w:t>lt.</w:t>
      </w:r>
    </w:p>
    <w:p w:rsidR="0014419E" w:rsidRDefault="0014419E" w:rsidP="0014419E"/>
    <w:p w:rsidR="0014419E" w:rsidRDefault="00747BE4" w:rsidP="0014419E">
      <w:r>
        <w:t>Successful</w:t>
      </w:r>
      <w:r w:rsidR="0014419E">
        <w:t xml:space="preserve"> learning was</w:t>
      </w:r>
      <w:r>
        <w:t xml:space="preserve"> determined by</w:t>
      </w:r>
      <w:r w:rsidR="0014419E">
        <w:t xml:space="preserve"> the number of days of training</w:t>
      </w:r>
      <w:r>
        <w:t xml:space="preserve"> required to make a correct choice on three successive days</w:t>
      </w:r>
      <w:r w:rsidR="0014419E">
        <w:t xml:space="preserve"> (</w:t>
      </w:r>
      <w:proofErr w:type="spellStart"/>
      <w:r w:rsidR="0014419E">
        <w:t>eg</w:t>
      </w:r>
      <w:proofErr w:type="spellEnd"/>
      <w:r w:rsidR="0014419E">
        <w:t xml:space="preserve"> </w:t>
      </w:r>
      <w:r w:rsidR="0014419E" w:rsidRPr="00567BB9">
        <w:rPr>
          <w:b/>
        </w:rPr>
        <w:t>25</w:t>
      </w:r>
      <w:r w:rsidR="0014419E">
        <w:t>).  Each study used increasing levels (units) of shock</w:t>
      </w:r>
      <w:r w:rsidR="005357D5">
        <w:t xml:space="preserve">, and </w:t>
      </w:r>
      <w:r>
        <w:t xml:space="preserve">used </w:t>
      </w:r>
      <w:r w:rsidR="005357D5">
        <w:t>different mice for each level</w:t>
      </w:r>
      <w:r w:rsidR="0014419E">
        <w:t>. The results from studies 1 and 2 are the average from 4 mice at each level, and for study 3 the averaged from 2 mice at each level.</w:t>
      </w:r>
    </w:p>
    <w:p w:rsidR="0014419E" w:rsidRDefault="0014419E" w:rsidP="0014419E"/>
    <w:p w:rsidR="0014419E" w:rsidRDefault="0014419E" w:rsidP="0014419E">
      <w:pPr>
        <w:rPr>
          <w:b/>
        </w:rPr>
      </w:pPr>
      <w:r w:rsidRPr="00767115">
        <w:rPr>
          <w:b/>
        </w:rPr>
        <w:t>Results</w:t>
      </w:r>
    </w:p>
    <w:p w:rsidR="0014419E" w:rsidRPr="00567BB9" w:rsidRDefault="0014419E" w:rsidP="0014419E">
      <w:r w:rsidRPr="00567BB9">
        <w:t xml:space="preserve">The summary </w:t>
      </w:r>
      <w:r w:rsidR="00747BE4">
        <w:t xml:space="preserve">of </w:t>
      </w:r>
      <w:r w:rsidRPr="00567BB9">
        <w:t>results</w:t>
      </w:r>
      <w:r w:rsidR="00683796">
        <w:t xml:space="preserve"> from the 3 studies follows. Each study description</w:t>
      </w:r>
      <w:r w:rsidR="00747BE4">
        <w:t xml:space="preserve"> shows, for each level, </w:t>
      </w:r>
      <w:r w:rsidR="00747BE4" w:rsidRPr="00683796">
        <w:rPr>
          <w:b/>
        </w:rPr>
        <w:t>days of training</w:t>
      </w:r>
      <w:r w:rsidR="00747BE4">
        <w:t xml:space="preserve"> and </w:t>
      </w:r>
      <w:r w:rsidR="00683796">
        <w:t>(</w:t>
      </w:r>
      <w:r w:rsidR="00747BE4">
        <w:t>uni</w:t>
      </w:r>
      <w:r w:rsidR="00683796">
        <w:t>ts of shock).</w:t>
      </w:r>
    </w:p>
    <w:p w:rsidR="0014419E" w:rsidRPr="00D86124" w:rsidRDefault="0014419E" w:rsidP="0014419E">
      <w:r w:rsidRPr="00D86124">
        <w:t xml:space="preserve">Study 1: </w:t>
      </w:r>
      <w:proofErr w:type="gramStart"/>
      <w:r w:rsidRPr="00D86124">
        <w:rPr>
          <w:b/>
        </w:rPr>
        <w:t>ns</w:t>
      </w:r>
      <w:r w:rsidRPr="00D86124">
        <w:t>(</w:t>
      </w:r>
      <w:proofErr w:type="gramEnd"/>
      <w:r w:rsidRPr="00D86124">
        <w:t xml:space="preserve">125), </w:t>
      </w:r>
      <w:r w:rsidRPr="00D86124">
        <w:rPr>
          <w:b/>
        </w:rPr>
        <w:t>12</w:t>
      </w:r>
      <w:r w:rsidRPr="00D86124">
        <w:t xml:space="preserve">(300), </w:t>
      </w:r>
      <w:r w:rsidRPr="00D86124">
        <w:rPr>
          <w:b/>
        </w:rPr>
        <w:t>23</w:t>
      </w:r>
      <w:r w:rsidRPr="00D86124">
        <w:t>(500)</w:t>
      </w:r>
    </w:p>
    <w:p w:rsidR="0014419E" w:rsidRPr="00D86124" w:rsidRDefault="0014419E" w:rsidP="0014419E">
      <w:r w:rsidRPr="00D86124">
        <w:t xml:space="preserve">Study 2: </w:t>
      </w:r>
      <w:r w:rsidRPr="00D86124">
        <w:rPr>
          <w:b/>
        </w:rPr>
        <w:t>18</w:t>
      </w:r>
      <w:r w:rsidRPr="00D86124">
        <w:t xml:space="preserve">(135), </w:t>
      </w:r>
      <w:r w:rsidRPr="00D86124">
        <w:rPr>
          <w:b/>
        </w:rPr>
        <w:t>11</w:t>
      </w:r>
      <w:r w:rsidRPr="00D86124">
        <w:t xml:space="preserve">(195), </w:t>
      </w:r>
      <w:r w:rsidRPr="00D86124">
        <w:rPr>
          <w:b/>
        </w:rPr>
        <w:t>11</w:t>
      </w:r>
      <w:r w:rsidRPr="00D86124">
        <w:t xml:space="preserve">(255), </w:t>
      </w:r>
      <w:r w:rsidRPr="00D86124">
        <w:rPr>
          <w:b/>
        </w:rPr>
        <w:t>12</w:t>
      </w:r>
      <w:r w:rsidRPr="00D86124">
        <w:t xml:space="preserve">(375), </w:t>
      </w:r>
      <w:r w:rsidRPr="00D86124">
        <w:rPr>
          <w:b/>
        </w:rPr>
        <w:t>8</w:t>
      </w:r>
      <w:r w:rsidRPr="00D86124">
        <w:t>(420)</w:t>
      </w:r>
    </w:p>
    <w:p w:rsidR="0014419E" w:rsidRPr="00D86124" w:rsidRDefault="0014419E" w:rsidP="0014419E">
      <w:r w:rsidRPr="00D86124">
        <w:t xml:space="preserve">Study 3: </w:t>
      </w:r>
      <w:r w:rsidRPr="00D86124">
        <w:rPr>
          <w:b/>
        </w:rPr>
        <w:t>30</w:t>
      </w:r>
      <w:r w:rsidRPr="00D86124">
        <w:t xml:space="preserve">(135), </w:t>
      </w:r>
      <w:r w:rsidRPr="00D86124">
        <w:rPr>
          <w:b/>
        </w:rPr>
        <w:t>16</w:t>
      </w:r>
      <w:r w:rsidRPr="00D86124">
        <w:t xml:space="preserve">(195), </w:t>
      </w:r>
      <w:r w:rsidRPr="00D86124">
        <w:rPr>
          <w:b/>
        </w:rPr>
        <w:t>19</w:t>
      </w:r>
      <w:r w:rsidRPr="00D86124">
        <w:t xml:space="preserve">(255), </w:t>
      </w:r>
      <w:r w:rsidRPr="00D86124">
        <w:rPr>
          <w:b/>
        </w:rPr>
        <w:t>26</w:t>
      </w:r>
      <w:r w:rsidRPr="00D86124">
        <w:t xml:space="preserve">(375) </w:t>
      </w:r>
    </w:p>
    <w:p w:rsidR="0014419E" w:rsidRDefault="0014419E" w:rsidP="0014419E"/>
    <w:p w:rsidR="0014419E" w:rsidRDefault="0014419E" w:rsidP="0014419E">
      <w:r>
        <w:lastRenderedPageBreak/>
        <w:t>The comments on each study are as follows:</w:t>
      </w:r>
    </w:p>
    <w:p w:rsidR="0014419E" w:rsidRPr="00767115" w:rsidRDefault="0014419E" w:rsidP="0014419E">
      <w:pPr>
        <w:rPr>
          <w:b/>
        </w:rPr>
      </w:pPr>
    </w:p>
    <w:p w:rsidR="0014419E" w:rsidRPr="00F327CF" w:rsidRDefault="0014419E" w:rsidP="0014419E">
      <w:pPr>
        <w:rPr>
          <w:i/>
        </w:rPr>
      </w:pPr>
      <w:r w:rsidRPr="00F327CF">
        <w:rPr>
          <w:i/>
        </w:rPr>
        <w:t>Study 1:</w:t>
      </w:r>
      <w:r w:rsidRPr="0029138E">
        <w:rPr>
          <w:b/>
        </w:rPr>
        <w:t xml:space="preserve"> </w:t>
      </w:r>
      <w:proofErr w:type="gramStart"/>
      <w:r w:rsidRPr="0029138E">
        <w:rPr>
          <w:b/>
          <w:i/>
        </w:rPr>
        <w:t>ns</w:t>
      </w:r>
      <w:r w:rsidRPr="0029138E">
        <w:rPr>
          <w:i/>
        </w:rPr>
        <w:t>(</w:t>
      </w:r>
      <w:proofErr w:type="gramEnd"/>
      <w:r w:rsidRPr="0029138E">
        <w:rPr>
          <w:i/>
        </w:rPr>
        <w:t xml:space="preserve">125), </w:t>
      </w:r>
      <w:r w:rsidRPr="0029138E">
        <w:rPr>
          <w:b/>
          <w:i/>
        </w:rPr>
        <w:t>12</w:t>
      </w:r>
      <w:r w:rsidRPr="0029138E">
        <w:rPr>
          <w:i/>
        </w:rPr>
        <w:t xml:space="preserve">(300), </w:t>
      </w:r>
      <w:r w:rsidRPr="0029138E">
        <w:rPr>
          <w:b/>
          <w:i/>
        </w:rPr>
        <w:t>23</w:t>
      </w:r>
      <w:r w:rsidRPr="0029138E">
        <w:rPr>
          <w:i/>
        </w:rPr>
        <w:t>(500)</w:t>
      </w:r>
    </w:p>
    <w:p w:rsidR="0014419E" w:rsidRDefault="0014419E" w:rsidP="0014419E">
      <w:r>
        <w:tab/>
        <w:t xml:space="preserve">Weak (125 units): only one of the four mice </w:t>
      </w:r>
      <w:proofErr w:type="gramStart"/>
      <w:r>
        <w:t>was</w:t>
      </w:r>
      <w:proofErr w:type="gramEnd"/>
      <w:r>
        <w:t xml:space="preserve"> able to be trained. The authors conclude that “</w:t>
      </w:r>
      <w:r w:rsidRPr="00045D31">
        <w:t>the stimulus was too wea</w:t>
      </w:r>
      <w:r>
        <w:t xml:space="preserve">k to furnish an adequate motive for the avoidance of the black box and the </w:t>
      </w:r>
      <w:r w:rsidRPr="00045D31">
        <w:t>experiments were</w:t>
      </w:r>
      <w:r>
        <w:t xml:space="preserve"> </w:t>
      </w:r>
      <w:r w:rsidRPr="00045D31">
        <w:t>discontinued</w:t>
      </w:r>
      <w:r>
        <w:t>” (p.469)</w:t>
      </w:r>
      <w:r w:rsidRPr="00045D31">
        <w:t>.</w:t>
      </w:r>
      <w:r>
        <w:t xml:space="preserve"> These results cannot be validly used in further discussion about discrimination learning.</w:t>
      </w:r>
    </w:p>
    <w:p w:rsidR="0014419E" w:rsidRDefault="0014419E" w:rsidP="0014419E"/>
    <w:p w:rsidR="0014419E" w:rsidRDefault="0014419E" w:rsidP="0014419E">
      <w:r>
        <w:tab/>
        <w:t>Medium (300 units): The authors comment: “Comparison o</w:t>
      </w:r>
      <w:r w:rsidRPr="00045D31">
        <w:t>f these results</w:t>
      </w:r>
      <w:r>
        <w:t xml:space="preserve"> </w:t>
      </w:r>
      <w:r w:rsidRPr="00045D31">
        <w:t>with those obtained with the weak stimulus clearly indicates that</w:t>
      </w:r>
      <w:r>
        <w:t xml:space="preserve"> </w:t>
      </w:r>
      <w:r w:rsidRPr="00045D31">
        <w:t xml:space="preserve">the medium stimulus was much more </w:t>
      </w:r>
      <w:proofErr w:type="spellStart"/>
      <w:r w:rsidRPr="00045D31">
        <w:t>favorable</w:t>
      </w:r>
      <w:proofErr w:type="spellEnd"/>
      <w:r w:rsidRPr="00045D31">
        <w:t xml:space="preserve"> to the acquirement</w:t>
      </w:r>
      <w:r>
        <w:t xml:space="preserve"> o</w:t>
      </w:r>
      <w:r w:rsidRPr="00045D31">
        <w:t>f the white-black visual discrimination habit</w:t>
      </w:r>
      <w:r>
        <w:t>” (p.470)</w:t>
      </w:r>
      <w:r w:rsidRPr="00045D31">
        <w:t>.</w:t>
      </w:r>
      <w:r>
        <w:t xml:space="preserve"> The authors’ comparison with the failed (125 units) is invalid as an appraisal of differential learning. As the authors state, the (125 units) stimulus was too weak to be effectively noticed by the mice.</w:t>
      </w:r>
    </w:p>
    <w:p w:rsidR="0014419E" w:rsidRDefault="0014419E" w:rsidP="0014419E"/>
    <w:p w:rsidR="0014419E" w:rsidRDefault="0014419E" w:rsidP="0014419E">
      <w:r>
        <w:tab/>
        <w:t>Strong (500 units): The authors comment: “</w:t>
      </w:r>
      <w:r w:rsidRPr="00045D31">
        <w:t>In its results</w:t>
      </w:r>
      <w:r>
        <w:t>,</w:t>
      </w:r>
      <w:r w:rsidRPr="00045D31">
        <w:t xml:space="preserve"> the strong stimulus proved to be similar to the</w:t>
      </w:r>
      <w:r>
        <w:t xml:space="preserve"> </w:t>
      </w:r>
      <w:r w:rsidRPr="00045D31">
        <w:t>weak stimulus. All of the mice in this case learned more slowly</w:t>
      </w:r>
      <w:r>
        <w:t xml:space="preserve"> </w:t>
      </w:r>
      <w:r w:rsidRPr="009E5B34">
        <w:t>than did those which were trai</w:t>
      </w:r>
      <w:r>
        <w:t xml:space="preserve">ned with the medium strength of </w:t>
      </w:r>
      <w:r w:rsidRPr="009E5B34">
        <w:t>stimulus</w:t>
      </w:r>
      <w:r>
        <w:t xml:space="preserve">” (p.471). </w:t>
      </w:r>
    </w:p>
    <w:p w:rsidR="0014419E" w:rsidRDefault="0014419E" w:rsidP="0014419E"/>
    <w:p w:rsidR="006C6DEE" w:rsidRDefault="006C6DEE" w:rsidP="0014419E">
      <w:r>
        <w:t>Summary</w:t>
      </w:r>
      <w:r w:rsidR="0014419E">
        <w:t>: The comparison</w:t>
      </w:r>
      <w:r>
        <w:t xml:space="preserve"> between these three levels forms the basis of the most commonly cited version of the ‘Yerkes-Dodson Law’. For example, Wikipedia states: </w:t>
      </w:r>
      <w:proofErr w:type="gramStart"/>
      <w:r>
        <w:t>“</w:t>
      </w:r>
      <w:r w:rsidR="0014419E">
        <w:t xml:space="preserve"> </w:t>
      </w:r>
      <w:r w:rsidRPr="006C6DEE">
        <w:t>The</w:t>
      </w:r>
      <w:proofErr w:type="gramEnd"/>
      <w:r w:rsidRPr="006C6DEE">
        <w:t xml:space="preserve"> law dictates that performance increases with physiological or mental arousal, but only up to a point. When levels of arousal become too high, performance decreases</w:t>
      </w:r>
      <w:r>
        <w:t>”</w:t>
      </w:r>
      <w:r w:rsidRPr="006C6DEE">
        <w:t>.</w:t>
      </w:r>
      <w:r w:rsidR="00683796">
        <w:t xml:space="preserve"> This interpretation of the</w:t>
      </w:r>
      <w:r>
        <w:t xml:space="preserve"> results </w:t>
      </w:r>
      <w:r w:rsidR="00683796">
        <w:t>is</w:t>
      </w:r>
      <w:r>
        <w:t xml:space="preserve"> challenged.</w:t>
      </w:r>
    </w:p>
    <w:p w:rsidR="006C6DEE" w:rsidRDefault="006C6DEE" w:rsidP="0014419E"/>
    <w:p w:rsidR="0014419E" w:rsidRDefault="006C6DEE" w:rsidP="0014419E">
      <w:r>
        <w:t>First, the</w:t>
      </w:r>
      <w:r w:rsidR="0014419E">
        <w:t xml:space="preserve"> result</w:t>
      </w:r>
      <w:r>
        <w:t xml:space="preserve"> of the ‘weak</w:t>
      </w:r>
      <w:r w:rsidR="0014419E">
        <w:t xml:space="preserve"> </w:t>
      </w:r>
      <w:r w:rsidRPr="006C6DEE">
        <w:t>(125 units)</w:t>
      </w:r>
      <w:r>
        <w:t>’level of</w:t>
      </w:r>
      <w:r w:rsidR="0014419E">
        <w:t xml:space="preserve"> study 1 is invalid, as stated above. Moreover, the level of </w:t>
      </w:r>
      <w:r w:rsidR="0014419E" w:rsidRPr="0077093C">
        <w:rPr>
          <w:u w:val="single"/>
        </w:rPr>
        <w:t>strong shock</w:t>
      </w:r>
      <w:r w:rsidR="0014419E">
        <w:t xml:space="preserve"> (500 units) was excessive. Common-sense informs that when the level of shock is so high as to cause great distress, all rational </w:t>
      </w:r>
      <w:proofErr w:type="spellStart"/>
      <w:r w:rsidR="0014419E">
        <w:t>behaviors</w:t>
      </w:r>
      <w:proofErr w:type="spellEnd"/>
      <w:r w:rsidR="0014419E">
        <w:t xml:space="preserve">, including learning, will be obscured. </w:t>
      </w:r>
      <w:r w:rsidR="003B163E">
        <w:t>In relation to this, t</w:t>
      </w:r>
      <w:r w:rsidR="0014419E">
        <w:t>he authors note</w:t>
      </w:r>
      <w:r w:rsidR="003B163E">
        <w:t xml:space="preserve"> that</w:t>
      </w:r>
      <w:r w:rsidR="0014419E">
        <w:t xml:space="preserve"> the strength as “the strong stimulus </w:t>
      </w:r>
      <w:r w:rsidR="0014419E" w:rsidRPr="009E5B34">
        <w:t>w</w:t>
      </w:r>
      <w:r w:rsidR="0014419E">
        <w:t>a</w:t>
      </w:r>
      <w:r w:rsidR="0014419E" w:rsidRPr="009E5B34">
        <w:t>s decid</w:t>
      </w:r>
      <w:r w:rsidR="0014419E">
        <w:t xml:space="preserve">edly disagreeable to the experimenters and the mice reacted to it vigorously” (pp.467-468). They elsewhere describe this level of 500 units as “positively injurious” (p.471) and even describe a lower intensity of (420 units) as </w:t>
      </w:r>
      <w:r w:rsidR="003B163E">
        <w:t>of</w:t>
      </w:r>
      <w:r w:rsidR="0014419E">
        <w:t xml:space="preserve"> “harmful intensity” (p.481, point 3). At the level of 500 units, the animal’s behaviour is reflecting reflexive-escape behaviour quite unrelated to discrimination learning. </w:t>
      </w:r>
      <w:r w:rsidR="003B163E">
        <w:t>As a consequence</w:t>
      </w:r>
      <w:r w:rsidR="0014419E">
        <w:t xml:space="preserve">, this result reflects the induction of pathology and cannot be used to inform the normal relationship between learning and motivation.  In summary, </w:t>
      </w:r>
      <w:r w:rsidR="003B163E">
        <w:t xml:space="preserve">it is likely that </w:t>
      </w:r>
      <w:r w:rsidR="003B163E" w:rsidRPr="00683796">
        <w:rPr>
          <w:i/>
        </w:rPr>
        <w:t>only the Medium (300 units) level of shock produced valid data</w:t>
      </w:r>
      <w:r w:rsidR="003B163E">
        <w:t xml:space="preserve"> regarding the rate of learning. If this is so, then</w:t>
      </w:r>
      <w:r w:rsidR="003B163E" w:rsidRPr="003B163E">
        <w:t xml:space="preserve"> </w:t>
      </w:r>
      <w:r w:rsidR="003B163E">
        <w:t xml:space="preserve">the claimed </w:t>
      </w:r>
      <w:r w:rsidR="0014419E">
        <w:t>differential results concerning learning</w:t>
      </w:r>
      <w:r w:rsidR="003B163E">
        <w:t xml:space="preserve"> performance, in relation to the weak and strong shocks,</w:t>
      </w:r>
      <w:r w:rsidR="0014419E">
        <w:t xml:space="preserve"> should be ignored.</w:t>
      </w:r>
    </w:p>
    <w:p w:rsidR="0014419E" w:rsidRDefault="0014419E" w:rsidP="0014419E"/>
    <w:p w:rsidR="0014419E" w:rsidRPr="000054E2" w:rsidRDefault="0014419E" w:rsidP="0014419E">
      <w:pPr>
        <w:rPr>
          <w:i/>
        </w:rPr>
      </w:pPr>
      <w:r w:rsidRPr="000054E2">
        <w:rPr>
          <w:i/>
        </w:rPr>
        <w:t>Study 2:</w:t>
      </w:r>
      <w:r w:rsidRPr="0029138E">
        <w:rPr>
          <w:b/>
        </w:rPr>
        <w:t xml:space="preserve"> </w:t>
      </w:r>
      <w:r w:rsidRPr="0029138E">
        <w:rPr>
          <w:b/>
          <w:i/>
        </w:rPr>
        <w:t>18</w:t>
      </w:r>
      <w:r w:rsidRPr="0029138E">
        <w:rPr>
          <w:i/>
        </w:rPr>
        <w:t xml:space="preserve">(135), </w:t>
      </w:r>
      <w:r w:rsidRPr="0029138E">
        <w:rPr>
          <w:b/>
          <w:i/>
        </w:rPr>
        <w:t>11</w:t>
      </w:r>
      <w:r w:rsidRPr="0029138E">
        <w:rPr>
          <w:i/>
        </w:rPr>
        <w:t xml:space="preserve">(195), </w:t>
      </w:r>
      <w:r w:rsidRPr="0029138E">
        <w:rPr>
          <w:b/>
          <w:i/>
        </w:rPr>
        <w:t>11</w:t>
      </w:r>
      <w:r w:rsidRPr="0029138E">
        <w:rPr>
          <w:i/>
        </w:rPr>
        <w:t xml:space="preserve">(255), </w:t>
      </w:r>
      <w:r w:rsidRPr="0029138E">
        <w:rPr>
          <w:b/>
          <w:i/>
        </w:rPr>
        <w:t>12</w:t>
      </w:r>
      <w:r w:rsidRPr="0029138E">
        <w:rPr>
          <w:i/>
        </w:rPr>
        <w:t xml:space="preserve">(375), </w:t>
      </w:r>
      <w:r w:rsidRPr="0029138E">
        <w:rPr>
          <w:b/>
          <w:i/>
        </w:rPr>
        <w:t>8</w:t>
      </w:r>
      <w:r w:rsidRPr="0029138E">
        <w:rPr>
          <w:i/>
        </w:rPr>
        <w:t>(420)</w:t>
      </w:r>
    </w:p>
    <w:p w:rsidR="0014419E" w:rsidRPr="00683796" w:rsidRDefault="0014419E" w:rsidP="0014419E">
      <w:pPr>
        <w:ind w:firstLine="720"/>
        <w:rPr>
          <w:i/>
        </w:rPr>
      </w:pPr>
      <w:r>
        <w:t>This used 5 levels of stimulation. The lowest was 9.3% higher than the ‘weak’ of study 1 and highest was 26</w:t>
      </w:r>
      <w:r w:rsidR="003B163E">
        <w:t>.0</w:t>
      </w:r>
      <w:r>
        <w:t xml:space="preserve">% lower than the ‘strong’ of study 1. It seems apparent that this new range of stimulation is appropriate to test the author’s hypothesis. “Casual examination of these tables reveals the fact that in general the rapidity of learning in this set of experiments increased as the strength of the stimulus increased. The weakest stimulus (135 units) gave the slowest rate of learning; the strongest stimulus (420 units), the most rapid” (p.472). In other words, </w:t>
      </w:r>
      <w:r w:rsidRPr="00683796">
        <w:rPr>
          <w:i/>
        </w:rPr>
        <w:t>the relationship between the stimulus strength and learning was linear.</w:t>
      </w:r>
    </w:p>
    <w:p w:rsidR="0014419E" w:rsidRDefault="0014419E" w:rsidP="0014419E"/>
    <w:p w:rsidR="0014419E" w:rsidRPr="0029138E" w:rsidRDefault="0014419E" w:rsidP="0014419E">
      <w:r>
        <w:lastRenderedPageBreak/>
        <w:t>Study 3:</w:t>
      </w:r>
      <w:r w:rsidRPr="0029138E">
        <w:rPr>
          <w:b/>
        </w:rPr>
        <w:t xml:space="preserve"> 30</w:t>
      </w:r>
      <w:r w:rsidRPr="0029138E">
        <w:t xml:space="preserve">(135), </w:t>
      </w:r>
      <w:r w:rsidRPr="0029138E">
        <w:rPr>
          <w:b/>
        </w:rPr>
        <w:t>16</w:t>
      </w:r>
      <w:r w:rsidRPr="0029138E">
        <w:t xml:space="preserve">(195), </w:t>
      </w:r>
      <w:r w:rsidRPr="0029138E">
        <w:rPr>
          <w:b/>
        </w:rPr>
        <w:t>19</w:t>
      </w:r>
      <w:r w:rsidRPr="0029138E">
        <w:t xml:space="preserve">(255), </w:t>
      </w:r>
      <w:r w:rsidRPr="0029138E">
        <w:rPr>
          <w:b/>
        </w:rPr>
        <w:t>26</w:t>
      </w:r>
      <w:r w:rsidRPr="0029138E">
        <w:t>(375)</w:t>
      </w:r>
    </w:p>
    <w:p w:rsidR="0014419E" w:rsidRDefault="0014419E" w:rsidP="0014419E">
      <w:r>
        <w:t>These 4 levels of stimulation correspond to the lowest 4</w:t>
      </w:r>
      <w:r w:rsidR="00683796">
        <w:t xml:space="preserve"> levels</w:t>
      </w:r>
      <w:r>
        <w:t xml:space="preserve"> in study 2. </w:t>
      </w:r>
    </w:p>
    <w:p w:rsidR="0014419E" w:rsidRDefault="003B163E" w:rsidP="0014419E">
      <w:r>
        <w:t>They used t</w:t>
      </w:r>
      <w:r w:rsidR="0014419E">
        <w:t>wo mice only at each stimulus level.</w:t>
      </w:r>
    </w:p>
    <w:p w:rsidR="0014419E" w:rsidRDefault="0014419E" w:rsidP="0014419E"/>
    <w:p w:rsidR="0014419E" w:rsidRDefault="0014419E" w:rsidP="0014419E">
      <w:r>
        <w:t xml:space="preserve">The authors conclude: “When the boxes differ only slightly in brightness and discrimination is extremely difficult the rapidity of learning at first rapidly increases as the strength of the stimulus is increased from the threshold, but, beyond an intensity of stimulation which is soon reached, it begins to decrease … </w:t>
      </w:r>
      <w:r w:rsidRPr="00327F9F">
        <w:t>wh</w:t>
      </w:r>
      <w:r>
        <w:t xml:space="preserve">en discrimination was extremely </w:t>
      </w:r>
      <w:r w:rsidRPr="00327F9F">
        <w:t xml:space="preserve">difficult a stimulus of 195 units was more </w:t>
      </w:r>
      <w:proofErr w:type="spellStart"/>
      <w:r w:rsidRPr="00327F9F">
        <w:t>favorable</w:t>
      </w:r>
      <w:proofErr w:type="spellEnd"/>
      <w:r w:rsidRPr="00327F9F">
        <w:t xml:space="preserve"> than the weaker</w:t>
      </w:r>
      <w:r>
        <w:t xml:space="preserve"> or the stronger stimuli” (p.481, point 4).</w:t>
      </w:r>
    </w:p>
    <w:p w:rsidR="0014419E" w:rsidRDefault="0014419E" w:rsidP="0014419E"/>
    <w:p w:rsidR="0014419E" w:rsidRPr="00FB159A" w:rsidRDefault="0014419E" w:rsidP="0014419E">
      <w:pPr>
        <w:rPr>
          <w:i/>
          <w:u w:val="single"/>
        </w:rPr>
      </w:pPr>
      <w:r w:rsidRPr="00FB159A">
        <w:rPr>
          <w:i/>
          <w:u w:val="single"/>
        </w:rPr>
        <w:t>These results bear scrutiny as:</w:t>
      </w:r>
    </w:p>
    <w:p w:rsidR="0014419E" w:rsidRDefault="0014419E" w:rsidP="0014419E">
      <w:r>
        <w:t>The lowest stimulus (135): Of the 2 mice, one failed to meet their criterion for learning. The other mouse learned in 24 trials. An average makes no sense – this is an N=1 trial.</w:t>
      </w:r>
    </w:p>
    <w:p w:rsidR="0014419E" w:rsidRDefault="0014419E" w:rsidP="0014419E"/>
    <w:p w:rsidR="0014419E" w:rsidRDefault="0014419E" w:rsidP="0014419E">
      <w:r>
        <w:t xml:space="preserve">The highest stimulus (375): Of the two mice, one learned in 19 trials, the other in 26 trials. This is an ambiguous result. The result of one mouse (19 trials) is consistent with a linear model, the result of the other mouse (26 trials) is consistent with the proposed U-shaped function. </w:t>
      </w:r>
    </w:p>
    <w:p w:rsidR="0014419E" w:rsidRDefault="0014419E" w:rsidP="0014419E">
      <w:r>
        <w:t>Conclusion: The results of study 3 cannot be reliably interpreted.</w:t>
      </w:r>
    </w:p>
    <w:p w:rsidR="0014419E" w:rsidRDefault="0014419E" w:rsidP="0014419E"/>
    <w:p w:rsidR="0014419E" w:rsidRPr="00327F9F" w:rsidRDefault="0014419E" w:rsidP="0014419E">
      <w:pPr>
        <w:rPr>
          <w:b/>
        </w:rPr>
      </w:pPr>
      <w:r w:rsidRPr="00327F9F">
        <w:rPr>
          <w:b/>
        </w:rPr>
        <w:t>Overall conclusion</w:t>
      </w:r>
    </w:p>
    <w:p w:rsidR="0014419E" w:rsidRDefault="0014419E" w:rsidP="0014419E">
      <w:r>
        <w:t>The problems with study 1 and study 3 are so profound that their results cannot be used to either support or deny any form of</w:t>
      </w:r>
      <w:r w:rsidR="00683796">
        <w:t xml:space="preserve"> systematic</w:t>
      </w:r>
      <w:r>
        <w:t xml:space="preserve"> relationship between the strength of stimulus and rate of learning. Only study 2 provides a coherent set of results. The results of study 2 show a linear relationship between stimulus strength and rate of learning. </w:t>
      </w:r>
    </w:p>
    <w:p w:rsidR="0014419E" w:rsidRDefault="0014419E" w:rsidP="0014419E"/>
    <w:p w:rsidR="0014419E" w:rsidRDefault="0014419E" w:rsidP="0014419E">
      <w:r>
        <w:t xml:space="preserve">The authors’ statements that these studies show “an intermediate range of intensity of stimulation proved to be most </w:t>
      </w:r>
      <w:proofErr w:type="spellStart"/>
      <w:r>
        <w:t>favorable</w:t>
      </w:r>
      <w:proofErr w:type="spellEnd"/>
      <w:r>
        <w:t xml:space="preserve"> to the acquisition of …visual discrimination …” (p.471), and that “an easily acquired habit … may readily be formed under strong stimulation, whereas a difficult habit may be acquired readily only under relatively weak stimulation” (pp.481-482), can be dismissed as fanciful</w:t>
      </w:r>
      <w:r w:rsidR="00683796">
        <w:t xml:space="preserve"> extensions of their data</w:t>
      </w:r>
      <w:r>
        <w:t>.</w:t>
      </w:r>
    </w:p>
    <w:p w:rsidR="00700975" w:rsidRDefault="00700975" w:rsidP="0014419E"/>
    <w:p w:rsidR="00700975" w:rsidRDefault="00683796" w:rsidP="0014419E">
      <w:r>
        <w:rPr>
          <w:i/>
        </w:rPr>
        <w:t xml:space="preserve">Note to self: </w:t>
      </w:r>
      <w:r w:rsidR="00700975" w:rsidRPr="00700975">
        <w:rPr>
          <w:i/>
        </w:rPr>
        <w:t>It really is worth reading original papers</w:t>
      </w:r>
      <w:r w:rsidR="00700975">
        <w:t>.</w:t>
      </w:r>
    </w:p>
    <w:p w:rsidR="00A000D2" w:rsidRDefault="00A000D2" w:rsidP="00A000D2">
      <w:pPr>
        <w:rPr>
          <w:rFonts w:eastAsia="Arial" w:cs="Times New Roman"/>
          <w:i/>
        </w:rPr>
      </w:pPr>
    </w:p>
    <w:p w:rsidR="00A000D2" w:rsidRPr="00BB5D46" w:rsidRDefault="00A000D2" w:rsidP="00A000D2">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A000D2" w:rsidRPr="00BB5D46" w:rsidRDefault="00A000D2" w:rsidP="00A000D2">
      <w:pPr>
        <w:jc w:val="center"/>
        <w:rPr>
          <w:rFonts w:eastAsia="Arial" w:cs="Times New Roman"/>
          <w:i/>
        </w:rPr>
      </w:pPr>
    </w:p>
    <w:p w:rsidR="00A000D2" w:rsidRPr="00BB5D46" w:rsidRDefault="00A000D2" w:rsidP="00A000D2">
      <w:pPr>
        <w:jc w:val="center"/>
        <w:rPr>
          <w:rFonts w:eastAsia="Arial" w:cs="Times New Roman"/>
          <w:i/>
        </w:rPr>
      </w:pPr>
      <w:r w:rsidRPr="00BB5D46">
        <w:rPr>
          <w:rFonts w:eastAsia="Arial" w:cs="Times New Roman"/>
          <w:i/>
        </w:rPr>
        <w:t xml:space="preserve">Further discussion of </w:t>
      </w:r>
      <w:r w:rsidR="007947F9">
        <w:rPr>
          <w:rFonts w:eastAsia="Arial" w:cs="Times New Roman"/>
          <w:i/>
        </w:rPr>
        <w:t>this paper,</w:t>
      </w:r>
      <w:r w:rsidRPr="00BB5D46">
        <w:rPr>
          <w:rFonts w:eastAsia="Arial" w:cs="Times New Roman"/>
          <w:i/>
        </w:rPr>
        <w:t xml:space="preserve"> for circulation to members, is invited. Send to: </w:t>
      </w:r>
      <w:hyperlink r:id="rId208" w:history="1">
        <w:r w:rsidRPr="00BB5D46">
          <w:rPr>
            <w:rFonts w:eastAsia="Arial" w:cs="Times New Roman"/>
            <w:i/>
            <w:color w:val="0563C1"/>
            <w:u w:val="single"/>
          </w:rPr>
          <w:t>robert.cummins@deakin.edu.au</w:t>
        </w:r>
      </w:hyperlink>
    </w:p>
    <w:p w:rsidR="00A000D2" w:rsidRPr="00BB5D46" w:rsidRDefault="00A000D2" w:rsidP="00A000D2">
      <w:pPr>
        <w:jc w:val="center"/>
        <w:rPr>
          <w:rFonts w:eastAsia="Arial" w:cs="Times New Roman"/>
          <w:i/>
        </w:rPr>
      </w:pPr>
      <w:r w:rsidRPr="00BB5D46">
        <w:rPr>
          <w:rFonts w:eastAsia="Arial" w:cs="Times New Roman"/>
          <w:i/>
        </w:rPr>
        <w:t xml:space="preserve">Substantive comments received by midnight on </w:t>
      </w:r>
      <w:r w:rsidRPr="007947F9">
        <w:rPr>
          <w:rFonts w:eastAsia="Arial" w:cs="Times New Roman"/>
          <w:i/>
        </w:rPr>
        <w:t xml:space="preserve">Monday </w:t>
      </w:r>
      <w:r w:rsidR="007947F9" w:rsidRPr="007947F9">
        <w:rPr>
          <w:rFonts w:eastAsia="Arial" w:cs="Times New Roman"/>
          <w:i/>
        </w:rPr>
        <w:t>22</w:t>
      </w:r>
      <w:r w:rsidR="007947F9" w:rsidRPr="007947F9">
        <w:rPr>
          <w:rFonts w:eastAsia="Arial" w:cs="Times New Roman"/>
          <w:i/>
          <w:vertAlign w:val="superscript"/>
        </w:rPr>
        <w:t>nd</w:t>
      </w:r>
      <w:r w:rsidRPr="007947F9">
        <w:rPr>
          <w:rFonts w:eastAsia="Arial" w:cs="Times New Roman"/>
          <w:i/>
        </w:rPr>
        <w:t xml:space="preserve"> </w:t>
      </w:r>
      <w:r w:rsidR="007947F9" w:rsidRPr="007947F9">
        <w:rPr>
          <w:rFonts w:eastAsia="Arial" w:cs="Times New Roman"/>
          <w:i/>
        </w:rPr>
        <w:t>July</w:t>
      </w:r>
      <w:r w:rsidRPr="007947F9">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A000D2" w:rsidRPr="00BB5D46" w:rsidRDefault="00A000D2" w:rsidP="00A000D2">
      <w:pPr>
        <w:jc w:val="center"/>
        <w:rPr>
          <w:rFonts w:eastAsia="Arial" w:cs="Times New Roman"/>
          <w:i/>
        </w:rPr>
      </w:pPr>
    </w:p>
    <w:p w:rsidR="00A000D2" w:rsidRPr="00BB5D46" w:rsidRDefault="00A000D2" w:rsidP="00A000D2">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A000D2" w:rsidRPr="00BB5D46" w:rsidRDefault="00A000D2" w:rsidP="007947F9">
      <w:pPr>
        <w:rPr>
          <w:rFonts w:eastAsia="Calibri" w:cs="Times New Roman"/>
          <w:i/>
          <w:szCs w:val="22"/>
        </w:rPr>
      </w:pPr>
    </w:p>
    <w:p w:rsidR="00A000D2" w:rsidRPr="00BB5D46" w:rsidRDefault="00A000D2" w:rsidP="00A000D2">
      <w:pPr>
        <w:jc w:val="center"/>
        <w:rPr>
          <w:rFonts w:eastAsia="Times New Roman" w:cs="Times New Roman"/>
          <w:b/>
          <w:lang w:val="en-US"/>
        </w:rPr>
      </w:pPr>
    </w:p>
    <w:p w:rsidR="00A457F6" w:rsidRPr="00BB5D46" w:rsidRDefault="00A457F6" w:rsidP="00A457F6">
      <w:pPr>
        <w:jc w:val="center"/>
        <w:rPr>
          <w:rFonts w:eastAsia="Arial" w:cs="Times New Roman"/>
          <w:b/>
          <w:sz w:val="32"/>
          <w:szCs w:val="32"/>
        </w:rPr>
      </w:pPr>
      <w:r w:rsidRPr="00BB5D46">
        <w:rPr>
          <w:rFonts w:eastAsia="Arial" w:cs="Times New Roman"/>
          <w:b/>
          <w:sz w:val="32"/>
          <w:szCs w:val="32"/>
        </w:rPr>
        <w:t>Volunteering</w:t>
      </w:r>
    </w:p>
    <w:p w:rsidR="00A457F6" w:rsidRPr="00BB5D46" w:rsidRDefault="00A457F6" w:rsidP="00A457F6">
      <w:pPr>
        <w:rPr>
          <w:rFonts w:eastAsia="Arial" w:cs="Times New Roman"/>
        </w:rPr>
      </w:pPr>
      <w:r w:rsidRPr="00BB5D46">
        <w:rPr>
          <w:rFonts w:eastAsia="Arial" w:cs="Times New Roman"/>
        </w:rPr>
        <w:t xml:space="preserve">Please welcome our new volunteer </w:t>
      </w:r>
      <w:r w:rsidR="00127057">
        <w:rPr>
          <w:rFonts w:eastAsia="Arial" w:cs="Times New Roman"/>
        </w:rPr>
        <w:t>who will be assisting with the development of the PWI manual.</w:t>
      </w:r>
    </w:p>
    <w:p w:rsidR="00127057" w:rsidRPr="00127057" w:rsidRDefault="00127057" w:rsidP="00127057">
      <w:pPr>
        <w:jc w:val="center"/>
        <w:rPr>
          <w:rFonts w:eastAsia="Arial" w:cs="Times New Roman"/>
        </w:rPr>
      </w:pPr>
      <w:r w:rsidRPr="00127057">
        <w:rPr>
          <w:rFonts w:eastAsia="Arial" w:cs="Times New Roman"/>
        </w:rPr>
        <w:lastRenderedPageBreak/>
        <w:t>Courtney McLean</w:t>
      </w:r>
      <w:r w:rsidRPr="00127057">
        <w:rPr>
          <w:rFonts w:eastAsia="Arial" w:cs="Times New Roman"/>
        </w:rPr>
        <w:br/>
        <w:t>Executive Volunteer PWI Editor</w:t>
      </w:r>
      <w:r w:rsidRPr="00127057">
        <w:rPr>
          <w:rFonts w:eastAsia="Arial" w:cs="Times New Roman"/>
        </w:rPr>
        <w:br/>
        <w:t xml:space="preserve">mcleanc@deakin.edu.au </w:t>
      </w:r>
    </w:p>
    <w:p w:rsidR="00A457F6" w:rsidRDefault="00127057" w:rsidP="00A457F6">
      <w:pPr>
        <w:jc w:val="center"/>
        <w:rPr>
          <w:rFonts w:eastAsia="Calibri" w:cs="Times New Roman"/>
          <w:i/>
          <w:szCs w:val="22"/>
        </w:rPr>
      </w:pPr>
      <w:r>
        <w:rPr>
          <w:rFonts w:eastAsia="Times New Roman"/>
          <w:noProof/>
          <w:lang w:eastAsia="en-AU"/>
        </w:rPr>
        <w:drawing>
          <wp:inline distT="0" distB="0" distL="0" distR="0" wp14:anchorId="586021DD" wp14:editId="7AFFFFFC">
            <wp:extent cx="1998953" cy="2647666"/>
            <wp:effectExtent l="0" t="0" r="1905" b="635"/>
            <wp:docPr id="2" name="Picture 2" descr="cid:49772784-e402-4f81-9dff-3c4143779100@ausprd01.prod.outlo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49772784-e402-4f81-9dff-3c4143779100@ausprd01.prod.outlook.com"/>
                    <pic:cNvPicPr>
                      <a:picLocks noChangeAspect="1" noChangeArrowheads="1"/>
                    </pic:cNvPicPr>
                  </pic:nvPicPr>
                  <pic:blipFill rotWithShape="1">
                    <a:blip r:embed="rId209" r:link="rId210">
                      <a:extLst>
                        <a:ext uri="{28A0092B-C50C-407E-A947-70E740481C1C}">
                          <a14:useLocalDpi xmlns:a14="http://schemas.microsoft.com/office/drawing/2010/main" val="0"/>
                        </a:ext>
                      </a:extLst>
                    </a:blip>
                    <a:srcRect t="14169" b="11536"/>
                    <a:stretch/>
                  </pic:blipFill>
                  <pic:spPr bwMode="auto">
                    <a:xfrm>
                      <a:off x="0" y="0"/>
                      <a:ext cx="2056478" cy="2723859"/>
                    </a:xfrm>
                    <a:prstGeom prst="rect">
                      <a:avLst/>
                    </a:prstGeom>
                    <a:noFill/>
                    <a:ln>
                      <a:noFill/>
                    </a:ln>
                    <a:extLst>
                      <a:ext uri="{53640926-AAD7-44D8-BBD7-CCE9431645EC}">
                        <a14:shadowObscured xmlns:a14="http://schemas.microsoft.com/office/drawing/2010/main"/>
                      </a:ext>
                    </a:extLst>
                  </pic:spPr>
                </pic:pic>
              </a:graphicData>
            </a:graphic>
          </wp:inline>
        </w:drawing>
      </w:r>
    </w:p>
    <w:p w:rsidR="00127057" w:rsidRDefault="00127057" w:rsidP="00A457F6">
      <w:pPr>
        <w:jc w:val="center"/>
        <w:rPr>
          <w:rFonts w:eastAsia="Calibri" w:cs="Times New Roman"/>
          <w:i/>
          <w:szCs w:val="22"/>
        </w:rPr>
      </w:pPr>
    </w:p>
    <w:p w:rsidR="00127057" w:rsidRDefault="00127057" w:rsidP="007947F9">
      <w:pPr>
        <w:jc w:val="center"/>
        <w:rPr>
          <w:rFonts w:eastAsia="Calibri" w:cs="Times New Roman"/>
          <w:i/>
          <w:szCs w:val="22"/>
        </w:rPr>
      </w:pPr>
      <w:r w:rsidRPr="00127057">
        <w:rPr>
          <w:rFonts w:eastAsia="Calibri" w:cs="Times New Roman"/>
          <w:i/>
          <w:szCs w:val="22"/>
        </w:rPr>
        <w:t>Courtney McLean is a recently graduated fourth year psychology student from Deakin University with a strong interest in clinical psychology, subjective well-being, and statistical analysis. Since graduating, Courtney has worked as a Teaching Associate at Monash University, where she is responsible for planning, preparing and delivering tutorials to 2</w:t>
      </w:r>
      <w:r w:rsidRPr="00127057">
        <w:rPr>
          <w:rFonts w:eastAsia="Calibri" w:cs="Times New Roman"/>
          <w:i/>
          <w:szCs w:val="22"/>
          <w:vertAlign w:val="superscript"/>
        </w:rPr>
        <w:t>nd</w:t>
      </w:r>
      <w:r w:rsidRPr="00127057">
        <w:rPr>
          <w:rFonts w:eastAsia="Calibri" w:cs="Times New Roman"/>
          <w:i/>
          <w:szCs w:val="22"/>
        </w:rPr>
        <w:t xml:space="preserve"> year psychology students. Courtney hopes to commence additional postgraduate studies in the future. When she isn’t working, you’ll find Courtney walking her dogs and discovering new restaurants.  </w:t>
      </w:r>
    </w:p>
    <w:p w:rsidR="007947F9" w:rsidRPr="00BB5D46" w:rsidRDefault="007947F9" w:rsidP="007947F9">
      <w:pPr>
        <w:jc w:val="center"/>
        <w:rPr>
          <w:rFonts w:eastAsia="Calibri" w:cs="Times New Roman"/>
          <w:i/>
          <w:szCs w:val="22"/>
        </w:rPr>
      </w:pPr>
    </w:p>
    <w:p w:rsidR="00A457F6" w:rsidRDefault="00A457F6" w:rsidP="00A457F6">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A457F6" w:rsidRDefault="00A457F6" w:rsidP="00A457F6">
      <w:pPr>
        <w:jc w:val="center"/>
        <w:rPr>
          <w:rFonts w:eastAsia="Arial" w:cs="Times New Roman"/>
          <w:i/>
          <w:sz w:val="22"/>
          <w:szCs w:val="22"/>
        </w:rPr>
      </w:pPr>
      <w:r w:rsidRPr="008C2032">
        <w:rPr>
          <w:rFonts w:eastAsia="Arial" w:cs="Times New Roman"/>
          <w:i/>
          <w:sz w:val="22"/>
          <w:szCs w:val="22"/>
        </w:rPr>
        <w:t>Tanja Capic &lt;tanja.capic@deakin.edu.au&gt;</w:t>
      </w:r>
    </w:p>
    <w:p w:rsidR="00A457F6" w:rsidRDefault="00A457F6" w:rsidP="00A457F6">
      <w:pPr>
        <w:jc w:val="center"/>
        <w:rPr>
          <w:rFonts w:eastAsia="Arial" w:cs="Times New Roman"/>
          <w:i/>
          <w:sz w:val="22"/>
          <w:szCs w:val="22"/>
        </w:rPr>
      </w:pPr>
      <w:proofErr w:type="spellStart"/>
      <w:r>
        <w:rPr>
          <w:rFonts w:eastAsia="Arial" w:cs="Times New Roman"/>
          <w:i/>
          <w:sz w:val="22"/>
          <w:szCs w:val="22"/>
        </w:rPr>
        <w:t>WebMaster</w:t>
      </w:r>
      <w:proofErr w:type="spellEnd"/>
    </w:p>
    <w:p w:rsidR="00A457F6" w:rsidRDefault="00A457F6" w:rsidP="00A457F6">
      <w:pPr>
        <w:tabs>
          <w:tab w:val="left" w:pos="3780"/>
        </w:tabs>
        <w:ind w:left="45"/>
        <w:rPr>
          <w:rFonts w:eastAsia="Times New Roman" w:cs="Times New Roman"/>
          <w:lang w:eastAsia="en-AU"/>
        </w:rPr>
      </w:pPr>
      <w:r>
        <w:rPr>
          <w:rFonts w:eastAsia="Times New Roman" w:cs="Times New Roman"/>
          <w:lang w:eastAsia="en-AU"/>
        </w:rPr>
        <w:t xml:space="preserve">The second-quarter 2019 Bulletin compilation has been archived at: </w:t>
      </w:r>
    </w:p>
    <w:p w:rsidR="00A457F6" w:rsidRDefault="00DF3874" w:rsidP="00A457F6">
      <w:pPr>
        <w:tabs>
          <w:tab w:val="left" w:pos="3780"/>
        </w:tabs>
        <w:ind w:left="45"/>
        <w:rPr>
          <w:rFonts w:eastAsia="Times New Roman" w:cs="Times New Roman"/>
          <w:lang w:eastAsia="en-AU"/>
        </w:rPr>
      </w:pPr>
      <w:hyperlink r:id="rId211" w:anchor="bulletins" w:history="1">
        <w:r w:rsidR="00A457F6" w:rsidRPr="00E94FE4">
          <w:rPr>
            <w:rStyle w:val="Hyperlink"/>
            <w:rFonts w:eastAsia="Times New Roman" w:cs="Times New Roman"/>
            <w:lang w:eastAsia="en-AU"/>
          </w:rPr>
          <w:t>http://www.acqol.com.au/publications#bulletins</w:t>
        </w:r>
      </w:hyperlink>
    </w:p>
    <w:p w:rsidR="00A457F6" w:rsidRDefault="00A457F6" w:rsidP="00A457F6">
      <w:pPr>
        <w:tabs>
          <w:tab w:val="left" w:pos="3780"/>
        </w:tabs>
        <w:rPr>
          <w:rFonts w:eastAsia="Times New Roman" w:cs="Times New Roman"/>
          <w:lang w:eastAsia="en-AU"/>
        </w:rPr>
      </w:pPr>
      <w:r w:rsidRPr="00A457F6">
        <w:rPr>
          <w:rFonts w:eastAsia="Times New Roman" w:cs="Times New Roman"/>
          <w:lang w:eastAsia="en-AU"/>
        </w:rPr>
        <w:t>ACQOL Bulletin Vol: 3 Issues: 14-26</w:t>
      </w:r>
      <w:r w:rsidRPr="00A457F6">
        <w:rPr>
          <w:rFonts w:eastAsia="Times New Roman" w:cs="Times New Roman"/>
          <w:lang w:eastAsia="en-AU"/>
        </w:rPr>
        <w:tab/>
      </w:r>
      <w:r>
        <w:rPr>
          <w:rFonts w:eastAsia="Times New Roman" w:cs="Times New Roman"/>
          <w:lang w:eastAsia="en-AU"/>
        </w:rPr>
        <w:t xml:space="preserve">     </w:t>
      </w:r>
      <w:r w:rsidRPr="00A457F6">
        <w:rPr>
          <w:rFonts w:eastAsia="Times New Roman" w:cs="Times New Roman"/>
          <w:lang w:eastAsia="en-AU"/>
        </w:rPr>
        <w:t>27-06-2019</w:t>
      </w:r>
    </w:p>
    <w:p w:rsidR="00A457F6" w:rsidRDefault="000A03D4" w:rsidP="00A457F6">
      <w:pPr>
        <w:tabs>
          <w:tab w:val="left" w:pos="3780"/>
        </w:tabs>
        <w:rPr>
          <w:rFonts w:eastAsia="Times New Roman" w:cs="Times New Roman"/>
          <w:lang w:eastAsia="en-AU"/>
        </w:rPr>
      </w:pPr>
      <w:r>
        <w:rPr>
          <w:rFonts w:eastAsia="Times New Roman" w:cs="Times New Roman"/>
          <w:lang w:eastAsia="en-AU"/>
        </w:rPr>
        <w:t>--------------------------</w:t>
      </w:r>
    </w:p>
    <w:p w:rsidR="000A03D4" w:rsidRPr="000A03D4" w:rsidRDefault="00A457F6" w:rsidP="000A03D4">
      <w:pPr>
        <w:rPr>
          <w:rFonts w:eastAsia="Calibri" w:cs="Times New Roman"/>
          <w:lang w:eastAsia="en-AU"/>
        </w:rPr>
      </w:pPr>
      <w:r>
        <w:rPr>
          <w:rFonts w:eastAsia="Calibri" w:cs="Times New Roman"/>
          <w:lang w:eastAsia="en-AU"/>
        </w:rPr>
        <w:t>A new</w:t>
      </w:r>
      <w:r w:rsidRPr="00A457F6">
        <w:rPr>
          <w:rFonts w:eastAsia="Calibri" w:cs="Times New Roman"/>
          <w:lang w:eastAsia="en-AU"/>
        </w:rPr>
        <w:t xml:space="preserve"> resource </w:t>
      </w:r>
      <w:r>
        <w:rPr>
          <w:rFonts w:eastAsia="Calibri" w:cs="Times New Roman"/>
          <w:lang w:eastAsia="en-AU"/>
        </w:rPr>
        <w:t xml:space="preserve">has been listed </w:t>
      </w:r>
      <w:r w:rsidRPr="00A457F6">
        <w:rPr>
          <w:rFonts w:eastAsia="Calibri" w:cs="Times New Roman"/>
          <w:lang w:eastAsia="en-AU"/>
        </w:rPr>
        <w:t>within the 'Health-related sites' section under the 'Useful sites'</w:t>
      </w:r>
      <w:r w:rsidR="001778B0">
        <w:rPr>
          <w:rFonts w:eastAsia="Calibri" w:cs="Times New Roman"/>
          <w:lang w:eastAsia="en-AU"/>
        </w:rPr>
        <w:t>:</w:t>
      </w:r>
      <w:r w:rsidRPr="00A457F6">
        <w:rPr>
          <w:rFonts w:eastAsia="Calibri" w:cs="Times New Roman"/>
          <w:lang w:eastAsia="en-AU"/>
        </w:rPr>
        <w:t xml:space="preserve"> </w:t>
      </w:r>
      <w:hyperlink r:id="rId212" w:anchor="usesful-sites" w:history="1">
        <w:r w:rsidR="001778B0" w:rsidRPr="00E94FE4">
          <w:rPr>
            <w:rStyle w:val="Hyperlink"/>
            <w:rFonts w:eastAsia="Calibri" w:cs="Times New Roman"/>
            <w:lang w:eastAsia="en-AU"/>
          </w:rPr>
          <w:t>http://www.acqol.com.au/instruments#usesful-sites</w:t>
        </w:r>
      </w:hyperlink>
    </w:p>
    <w:p w:rsidR="00A457F6" w:rsidRPr="00127057" w:rsidRDefault="00DF3874" w:rsidP="00A457F6">
      <w:pPr>
        <w:spacing w:after="150"/>
        <w:rPr>
          <w:rFonts w:eastAsia="Calibri" w:cs="Times New Roman"/>
          <w:color w:val="0299CC"/>
          <w:sz w:val="25"/>
          <w:szCs w:val="25"/>
          <w:lang w:eastAsia="en-AU"/>
        </w:rPr>
      </w:pPr>
      <w:hyperlink r:id="rId213" w:tgtFrame="_blank" w:history="1">
        <w:r w:rsidR="00A457F6" w:rsidRPr="00127057">
          <w:rPr>
            <w:rFonts w:eastAsia="Calibri" w:cs="Times New Roman"/>
            <w:color w:val="337AB7"/>
            <w:sz w:val="25"/>
            <w:szCs w:val="25"/>
            <w:u w:val="single"/>
            <w:lang w:eastAsia="en-AU"/>
          </w:rPr>
          <w:t>Drug Rehab Connections - Alcohol Self-Assessment Test</w:t>
        </w:r>
      </w:hyperlink>
    </w:p>
    <w:p w:rsidR="00A457F6" w:rsidRPr="00683796" w:rsidRDefault="00A457F6" w:rsidP="00683796">
      <w:pPr>
        <w:spacing w:after="150"/>
        <w:rPr>
          <w:rFonts w:eastAsia="Calibri" w:cs="Times New Roman"/>
          <w:color w:val="000000"/>
          <w:sz w:val="22"/>
          <w:szCs w:val="22"/>
          <w:lang w:eastAsia="en-AU"/>
        </w:rPr>
      </w:pPr>
      <w:r w:rsidRPr="000A03D4">
        <w:rPr>
          <w:rFonts w:eastAsia="Calibri" w:cs="Times New Roman"/>
          <w:color w:val="000000"/>
          <w:sz w:val="22"/>
          <w:szCs w:val="22"/>
          <w:lang w:eastAsia="en-AU"/>
        </w:rPr>
        <w:t>Drug Rehab Connections is an informational website that connects addicts and their families with the help they need to put their lives together. Our goal is to help individuals and loved ones by providing them with information and support on different addictions and recover</w:t>
      </w:r>
      <w:r w:rsidR="00683796">
        <w:rPr>
          <w:rFonts w:eastAsia="Calibri" w:cs="Times New Roman"/>
          <w:color w:val="000000"/>
          <w:sz w:val="22"/>
          <w:szCs w:val="22"/>
          <w:lang w:eastAsia="en-AU"/>
        </w:rPr>
        <w:t>y resources available to them.</w:t>
      </w:r>
    </w:p>
    <w:p w:rsidR="00A457F6" w:rsidRPr="00A457F6" w:rsidRDefault="00A457F6" w:rsidP="00A457F6">
      <w:pPr>
        <w:rPr>
          <w:rFonts w:eastAsia="Arial" w:cs="Times New Roman"/>
          <w:sz w:val="22"/>
          <w:szCs w:val="22"/>
        </w:rPr>
      </w:pPr>
    </w:p>
    <w:p w:rsidR="00A000D2" w:rsidRDefault="00A000D2" w:rsidP="00A457F6">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A000D2" w:rsidRPr="004A2F62" w:rsidRDefault="00A000D2" w:rsidP="00A000D2">
      <w:pPr>
        <w:jc w:val="center"/>
        <w:rPr>
          <w:rFonts w:eastAsia="Calibri" w:cs="Times New Roman"/>
          <w:i/>
          <w:szCs w:val="22"/>
        </w:rPr>
      </w:pPr>
      <w:r w:rsidRPr="007F0718">
        <w:rPr>
          <w:rFonts w:eastAsia="Calibri" w:cs="Times New Roman"/>
          <w:i/>
          <w:szCs w:val="22"/>
        </w:rPr>
        <w:t>Sourced from the Analysis &amp; Policy Observatory</w:t>
      </w:r>
    </w:p>
    <w:p w:rsidR="00A000D2" w:rsidRPr="00BB5D46" w:rsidRDefault="00A000D2" w:rsidP="00A000D2">
      <w:pPr>
        <w:jc w:val="center"/>
        <w:rPr>
          <w:rFonts w:eastAsia="Arial" w:cs="Times New Roman"/>
          <w:b/>
          <w:color w:val="000000"/>
          <w:sz w:val="32"/>
          <w:szCs w:val="32"/>
          <w:lang w:val="en-US"/>
        </w:rPr>
      </w:pPr>
    </w:p>
    <w:p w:rsidR="00A000D2" w:rsidRPr="00683796" w:rsidRDefault="004B1577" w:rsidP="00A000D2">
      <w:pPr>
        <w:rPr>
          <w:rFonts w:eastAsia="Arial" w:cs="Times New Roman"/>
          <w:i/>
          <w:color w:val="000000"/>
          <w:sz w:val="22"/>
          <w:szCs w:val="22"/>
          <w:lang w:val="en-US"/>
        </w:rPr>
      </w:pPr>
      <w:r w:rsidRPr="00683796">
        <w:rPr>
          <w:rFonts w:eastAsia="Arial" w:cs="Times New Roman"/>
          <w:i/>
          <w:color w:val="000000"/>
          <w:sz w:val="22"/>
          <w:szCs w:val="22"/>
          <w:lang w:val="en-US"/>
        </w:rPr>
        <w:t>Productivity Commission. (2019). A Better Way to Support Veterans, Report no. 93. Canberra: Author https://apo.org.au/sites/default/files/resource-files/2019/07/apo-nid246311-1371351.pdf.</w:t>
      </w:r>
    </w:p>
    <w:p w:rsidR="004B1577" w:rsidRPr="004B1577" w:rsidRDefault="004B1577" w:rsidP="004B1577">
      <w:pPr>
        <w:rPr>
          <w:rFonts w:eastAsia="Arial" w:cs="Times New Roman"/>
          <w:color w:val="000000"/>
          <w:lang w:val="en-US"/>
        </w:rPr>
      </w:pPr>
      <w:r w:rsidRPr="004B1577">
        <w:rPr>
          <w:rFonts w:eastAsia="Arial" w:cs="Times New Roman"/>
          <w:color w:val="000000"/>
          <w:lang w:val="en-US"/>
        </w:rPr>
        <w:tab/>
        <w:t>Despite some recent improvements to the veterans’ compensation and rehabilitation system, it is not fit-for-purpose — it requires fundamental reform. It is out-of-date and is not working in the best interest of veterans and their families, or the Australian community.</w:t>
      </w:r>
    </w:p>
    <w:p w:rsidR="004B1577" w:rsidRPr="004B1577" w:rsidRDefault="004B1577" w:rsidP="004B1577">
      <w:pPr>
        <w:rPr>
          <w:rFonts w:eastAsia="Arial" w:cs="Times New Roman"/>
          <w:color w:val="000000"/>
          <w:lang w:val="en-US"/>
        </w:rPr>
      </w:pPr>
      <w:r w:rsidRPr="004B1577">
        <w:rPr>
          <w:rFonts w:eastAsia="Arial" w:cs="Times New Roman"/>
          <w:color w:val="000000"/>
          <w:lang w:val="en-US"/>
        </w:rPr>
        <w:lastRenderedPageBreak/>
        <w:tab/>
        <w:t xml:space="preserve">In 2017-18, the Department of Veterans’ Affairs (DVA) spent $13.2 billion supporting about 166 000 veterans and 117 000 </w:t>
      </w:r>
      <w:proofErr w:type="spellStart"/>
      <w:r w:rsidRPr="004B1577">
        <w:rPr>
          <w:rFonts w:eastAsia="Arial" w:cs="Times New Roman"/>
          <w:color w:val="000000"/>
          <w:lang w:val="en-US"/>
        </w:rPr>
        <w:t>dependants</w:t>
      </w:r>
      <w:proofErr w:type="spellEnd"/>
      <w:r w:rsidRPr="004B1577">
        <w:rPr>
          <w:rFonts w:eastAsia="Arial" w:cs="Times New Roman"/>
          <w:color w:val="000000"/>
          <w:lang w:val="en-US"/>
        </w:rPr>
        <w:t xml:space="preserve"> (about $47 000 per client). And while the veteran support system is more generous overall than other workers’ compensation schemes, this does not mean it is an effective system.</w:t>
      </w:r>
    </w:p>
    <w:p w:rsidR="004B1577" w:rsidRPr="004B1577" w:rsidRDefault="004B1577" w:rsidP="004B1577">
      <w:pPr>
        <w:rPr>
          <w:rFonts w:eastAsia="Arial" w:cs="Times New Roman"/>
          <w:color w:val="000000"/>
          <w:lang w:val="en-US"/>
        </w:rPr>
      </w:pPr>
      <w:r w:rsidRPr="004B1577">
        <w:rPr>
          <w:rFonts w:eastAsia="Arial" w:cs="Times New Roman"/>
          <w:color w:val="000000"/>
          <w:lang w:val="en-US"/>
        </w:rPr>
        <w:tab/>
        <w:t>The system fails to focus on the lifetime wellbeing of veterans. It is overly complex (legislatively and administratively), difficult to navigate, inequitable, and it is poorly administered (which places unwarranted stress on claimants). Some supports are not wellness-focused, some are not well targeted and others are archaic, dating back to the 1920s.</w:t>
      </w:r>
    </w:p>
    <w:p w:rsidR="004B1577" w:rsidRPr="004B1577" w:rsidRDefault="004B1577" w:rsidP="004B1577">
      <w:pPr>
        <w:rPr>
          <w:rFonts w:eastAsia="Arial" w:cs="Times New Roman"/>
          <w:color w:val="000000"/>
          <w:lang w:val="en-US"/>
        </w:rPr>
      </w:pPr>
      <w:r w:rsidRPr="004B1577">
        <w:rPr>
          <w:rFonts w:eastAsia="Arial" w:cs="Times New Roman"/>
          <w:color w:val="000000"/>
          <w:lang w:val="en-US"/>
        </w:rPr>
        <w:tab/>
        <w:t xml:space="preserve">The institutional and policy split between </w:t>
      </w:r>
      <w:proofErr w:type="spellStart"/>
      <w:r w:rsidRPr="004B1577">
        <w:rPr>
          <w:rFonts w:eastAsia="Arial" w:cs="Times New Roman"/>
          <w:color w:val="000000"/>
          <w:lang w:val="en-US"/>
        </w:rPr>
        <w:t>Defence</w:t>
      </w:r>
      <w:proofErr w:type="spellEnd"/>
      <w:r w:rsidRPr="004B1577">
        <w:rPr>
          <w:rFonts w:eastAsia="Arial" w:cs="Times New Roman"/>
          <w:color w:val="000000"/>
          <w:lang w:val="en-US"/>
        </w:rPr>
        <w:t xml:space="preserve"> and DVA also embeds perverse incentives, inefficient administration and poor accountability, and results in policy and implementation gaps.</w:t>
      </w:r>
    </w:p>
    <w:p w:rsidR="00A000D2" w:rsidRDefault="004B1577" w:rsidP="004B1577">
      <w:pPr>
        <w:rPr>
          <w:rFonts w:eastAsia="Arial" w:cs="Times New Roman"/>
          <w:color w:val="000000"/>
          <w:sz w:val="22"/>
          <w:szCs w:val="22"/>
          <w:lang w:val="en-US"/>
        </w:rPr>
      </w:pPr>
      <w:r w:rsidRPr="004B1577">
        <w:rPr>
          <w:rFonts w:eastAsia="Arial" w:cs="Times New Roman"/>
          <w:color w:val="000000"/>
          <w:lang w:val="en-US"/>
        </w:rPr>
        <w:tab/>
        <w:t>A future veteran support system needs to have a focus on the lifetime wellbeing of veterans</w:t>
      </w:r>
      <w:r w:rsidRPr="004B1577">
        <w:rPr>
          <w:rFonts w:eastAsia="Arial" w:cs="Times New Roman"/>
          <w:color w:val="000000"/>
          <w:sz w:val="22"/>
          <w:szCs w:val="22"/>
          <w:lang w:val="en-US"/>
        </w:rPr>
        <w:t>.</w:t>
      </w:r>
    </w:p>
    <w:p w:rsidR="00C31CBC" w:rsidRPr="00C31CBC" w:rsidRDefault="00C31CBC" w:rsidP="004B1577">
      <w:pPr>
        <w:rPr>
          <w:rFonts w:ascii="Helvetica" w:hAnsi="Helvetica" w:cs="Helvetica"/>
          <w:b/>
          <w:sz w:val="22"/>
          <w:szCs w:val="22"/>
        </w:rPr>
      </w:pPr>
      <w:r w:rsidRPr="00C31CBC">
        <w:rPr>
          <w:rFonts w:eastAsia="Arial" w:cs="Times New Roman"/>
          <w:b/>
          <w:color w:val="000000"/>
          <w:sz w:val="22"/>
          <w:szCs w:val="22"/>
          <w:lang w:val="en-US"/>
        </w:rPr>
        <w:t xml:space="preserve">[Note: </w:t>
      </w:r>
      <w:proofErr w:type="spellStart"/>
      <w:r w:rsidRPr="00C31CBC">
        <w:rPr>
          <w:rFonts w:eastAsia="Arial" w:cs="Times New Roman"/>
          <w:b/>
          <w:color w:val="000000"/>
          <w:sz w:val="22"/>
          <w:szCs w:val="22"/>
          <w:lang w:val="en-US"/>
        </w:rPr>
        <w:t>ACQol</w:t>
      </w:r>
      <w:proofErr w:type="spellEnd"/>
      <w:r w:rsidRPr="00C31CBC">
        <w:rPr>
          <w:rFonts w:eastAsia="Arial" w:cs="Times New Roman"/>
          <w:b/>
          <w:color w:val="000000"/>
          <w:sz w:val="22"/>
          <w:szCs w:val="22"/>
          <w:lang w:val="en-US"/>
        </w:rPr>
        <w:t xml:space="preserve"> is in discussion with DVA, who have started to use the Personal Wellbeing Index in their consumer-satisfaction annual surveys]</w:t>
      </w:r>
    </w:p>
    <w:p w:rsidR="00A000D2" w:rsidRDefault="00A000D2" w:rsidP="00A000D2">
      <w:pPr>
        <w:jc w:val="center"/>
        <w:rPr>
          <w:rFonts w:ascii="Helvetica" w:hAnsi="Helvetica" w:cs="Helvetica"/>
          <w:sz w:val="18"/>
          <w:szCs w:val="18"/>
        </w:rPr>
      </w:pPr>
    </w:p>
    <w:p w:rsidR="00A000D2" w:rsidRPr="00CB131A" w:rsidRDefault="00A000D2" w:rsidP="00A000D2">
      <w:pPr>
        <w:jc w:val="center"/>
        <w:rPr>
          <w:rFonts w:eastAsia="Arial" w:cs="Times New Roman"/>
          <w:b/>
          <w:sz w:val="32"/>
          <w:szCs w:val="32"/>
        </w:rPr>
      </w:pPr>
      <w:r w:rsidRPr="00BB5D46">
        <w:rPr>
          <w:rFonts w:eastAsia="Arial" w:cs="Times New Roman"/>
          <w:b/>
          <w:sz w:val="32"/>
          <w:szCs w:val="32"/>
        </w:rPr>
        <w:t>Media news</w:t>
      </w:r>
    </w:p>
    <w:p w:rsidR="00A000D2" w:rsidRPr="00CB131A" w:rsidRDefault="00A000D2" w:rsidP="00A000D2">
      <w:pPr>
        <w:jc w:val="center"/>
        <w:rPr>
          <w:rFonts w:eastAsia="Arial" w:cs="Times New Roman"/>
          <w:i/>
        </w:rPr>
      </w:pPr>
      <w:r w:rsidRPr="00CB131A">
        <w:rPr>
          <w:rFonts w:eastAsia="Arial" w:cs="Times New Roman"/>
          <w:i/>
        </w:rPr>
        <w:t>Tanika Roberts [</w:t>
      </w:r>
      <w:hyperlink r:id="rId214" w:history="1">
        <w:r w:rsidRPr="00CB131A">
          <w:rPr>
            <w:rStyle w:val="Hyperlink"/>
            <w:rFonts w:eastAsia="Arial" w:cs="Times New Roman"/>
            <w:i/>
          </w:rPr>
          <w:t>trobe@deakin.edu.au</w:t>
        </w:r>
      </w:hyperlink>
      <w:r w:rsidRPr="00CB131A">
        <w:rPr>
          <w:rFonts w:eastAsia="Arial" w:cs="Times New Roman"/>
          <w:i/>
        </w:rPr>
        <w:t>]</w:t>
      </w:r>
    </w:p>
    <w:p w:rsidR="00A000D2" w:rsidRPr="00CB131A" w:rsidRDefault="00A000D2" w:rsidP="00A000D2">
      <w:pPr>
        <w:jc w:val="center"/>
        <w:rPr>
          <w:rFonts w:eastAsia="Arial" w:cs="Times New Roman"/>
          <w:i/>
        </w:rPr>
      </w:pPr>
      <w:r w:rsidRPr="00CB131A">
        <w:rPr>
          <w:rFonts w:eastAsia="Arial" w:cs="Times New Roman"/>
          <w:i/>
        </w:rPr>
        <w:t>Executive Volunteer, Bulletin Co-Editor– Media</w:t>
      </w:r>
    </w:p>
    <w:p w:rsidR="00A000D2" w:rsidRDefault="00A000D2" w:rsidP="00A000D2">
      <w:pPr>
        <w:rPr>
          <w:rFonts w:eastAsia="Arial" w:cs="Times New Roman"/>
          <w:sz w:val="28"/>
          <w:szCs w:val="28"/>
        </w:rPr>
      </w:pPr>
    </w:p>
    <w:p w:rsidR="00C31CBC" w:rsidRPr="00C31CBC" w:rsidRDefault="00C31CBC" w:rsidP="00C31CBC">
      <w:pPr>
        <w:shd w:val="clear" w:color="auto" w:fill="FFFFFF"/>
        <w:outlineLvl w:val="0"/>
        <w:rPr>
          <w:rFonts w:eastAsia="Times New Roman" w:cs="Times New Roman"/>
          <w:b/>
          <w:bCs/>
          <w:kern w:val="36"/>
          <w:sz w:val="48"/>
          <w:szCs w:val="48"/>
          <w:lang w:eastAsia="en-AU"/>
        </w:rPr>
      </w:pPr>
      <w:r w:rsidRPr="00C31CBC">
        <w:rPr>
          <w:rFonts w:eastAsia="Times New Roman" w:cs="Times New Roman"/>
          <w:b/>
          <w:bCs/>
          <w:kern w:val="36"/>
          <w:lang w:eastAsia="en-AU"/>
        </w:rPr>
        <w:t>Certain Antidepressants and Antipsychotic Drugs May Increase Your Risk of Dementia</w:t>
      </w:r>
    </w:p>
    <w:p w:rsidR="00C31CBC" w:rsidRPr="00C31CBC" w:rsidRDefault="00C31CBC" w:rsidP="00C31CBC">
      <w:pPr>
        <w:rPr>
          <w:rFonts w:eastAsia="Calibri" w:cs="Times New Roman"/>
          <w:lang w:eastAsia="en-AU"/>
        </w:rPr>
      </w:pPr>
      <w:r w:rsidRPr="00C31CBC">
        <w:rPr>
          <w:rFonts w:eastAsia="Calibri" w:cs="Times New Roman"/>
          <w:sz w:val="20"/>
          <w:szCs w:val="20"/>
          <w:shd w:val="clear" w:color="auto" w:fill="FFFFFF"/>
          <w:lang w:eastAsia="en-AU"/>
        </w:rPr>
        <w:t>GABBY LANDSVERK</w:t>
      </w:r>
    </w:p>
    <w:p w:rsidR="00C31CBC" w:rsidRPr="00C31CBC" w:rsidRDefault="00DF3874" w:rsidP="00C31CBC">
      <w:pPr>
        <w:rPr>
          <w:rFonts w:eastAsia="Calibri" w:cs="Times New Roman"/>
          <w:lang w:eastAsia="en-AU"/>
        </w:rPr>
      </w:pPr>
      <w:hyperlink r:id="rId215" w:history="1">
        <w:r w:rsidR="00C31CBC" w:rsidRPr="00C31CBC">
          <w:rPr>
            <w:rFonts w:eastAsia="Calibri" w:cs="Times New Roman"/>
            <w:color w:val="0000FF"/>
            <w:sz w:val="23"/>
            <w:szCs w:val="23"/>
            <w:u w:val="single"/>
            <w:lang w:eastAsia="en-AU"/>
          </w:rPr>
          <w:t>https://www.sciencealert.com/certain-antidepressants-and-antipsychotic-drugs-may-increase-your-risk-of-dementia</w:t>
        </w:r>
      </w:hyperlink>
      <w:r w:rsidR="00C31CBC" w:rsidRPr="00C31CBC">
        <w:rPr>
          <w:rFonts w:eastAsia="Calibri" w:cs="Times New Roman"/>
          <w:color w:val="0000FF"/>
          <w:sz w:val="23"/>
          <w:szCs w:val="23"/>
          <w:u w:val="single"/>
          <w:lang w:eastAsia="en-AU"/>
        </w:rPr>
        <w:t> </w:t>
      </w:r>
    </w:p>
    <w:p w:rsidR="00C31CBC" w:rsidRDefault="00C31CBC" w:rsidP="00C31CBC">
      <w:pPr>
        <w:rPr>
          <w:rFonts w:eastAsia="Calibri" w:cs="Times New Roman"/>
          <w:sz w:val="23"/>
          <w:szCs w:val="23"/>
          <w:shd w:val="clear" w:color="auto" w:fill="FFFFFF"/>
          <w:lang w:eastAsia="en-AU"/>
        </w:rPr>
      </w:pPr>
    </w:p>
    <w:p w:rsidR="00C31CBC" w:rsidRDefault="00C31CBC" w:rsidP="00C31CBC">
      <w:pPr>
        <w:rPr>
          <w:rFonts w:eastAsia="Calibri" w:cs="Times New Roman"/>
          <w:shd w:val="clear" w:color="auto" w:fill="FFFFFF"/>
          <w:lang w:eastAsia="en-AU"/>
        </w:rPr>
      </w:pPr>
      <w:r w:rsidRPr="00C31CBC">
        <w:rPr>
          <w:rFonts w:eastAsia="Calibri" w:cs="Times New Roman"/>
          <w:shd w:val="clear" w:color="auto" w:fill="FFFFFF"/>
          <w:lang w:eastAsia="en-AU"/>
        </w:rPr>
        <w:t>A new study of more than 283,000 elderly people in the UK has found that long-term use of anticholinergic drugs – including some medications for </w:t>
      </w:r>
      <w:r w:rsidRPr="00C31CBC">
        <w:rPr>
          <w:rFonts w:eastAsia="Calibri" w:cs="Times New Roman"/>
          <w:lang w:eastAsia="en-AU"/>
        </w:rPr>
        <w:t xml:space="preserve">depression, epilepsy, and Parkinson's disease – is associated with a significant increased risk of dementia. </w:t>
      </w:r>
      <w:r w:rsidRPr="00C31CBC">
        <w:rPr>
          <w:rFonts w:eastAsia="Calibri" w:cs="Times New Roman"/>
          <w:shd w:val="clear" w:color="auto" w:fill="FFFFFF"/>
          <w:lang w:eastAsia="en-AU"/>
        </w:rPr>
        <w:t>The researchers found that patients who took even one strong anticholinergic drug at the minimum effective daily dose for three years had a 50 percent greater likelihood of being diagnosed with dementia, even when taking into account other factors like participants' age, gender, and whether or not</w:t>
      </w:r>
      <w:r>
        <w:rPr>
          <w:rFonts w:eastAsia="Calibri" w:cs="Times New Roman"/>
          <w:shd w:val="clear" w:color="auto" w:fill="FFFFFF"/>
          <w:lang w:eastAsia="en-AU"/>
        </w:rPr>
        <w:t xml:space="preserve"> they smoked or drank alcohol. T</w:t>
      </w:r>
      <w:r w:rsidRPr="00C31CBC">
        <w:rPr>
          <w:rFonts w:eastAsia="Calibri" w:cs="Times New Roman"/>
          <w:shd w:val="clear" w:color="auto" w:fill="FFFFFF"/>
          <w:lang w:eastAsia="en-AU"/>
        </w:rPr>
        <w:t>he study's authors theorise that if a causal link could be proven with more research, up to 10 percent of dementia diagnoses could be attributable to anticholinergic exposure.</w:t>
      </w:r>
    </w:p>
    <w:p w:rsidR="00C31CBC" w:rsidRPr="00C31CBC" w:rsidRDefault="00C31CBC" w:rsidP="00C31CBC">
      <w:pPr>
        <w:rPr>
          <w:rFonts w:eastAsia="Calibri" w:cs="Times New Roman"/>
          <w:lang w:eastAsia="en-AU"/>
        </w:rPr>
      </w:pPr>
    </w:p>
    <w:p w:rsidR="00A000D2" w:rsidRPr="002C296F" w:rsidRDefault="00A000D2" w:rsidP="00A000D2">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14419E" w:rsidRPr="0014419E" w:rsidRDefault="0014419E" w:rsidP="0014419E">
      <w:pPr>
        <w:pStyle w:val="EndNoteBibliography"/>
        <w:ind w:left="720" w:hanging="720"/>
      </w:pPr>
      <w:r w:rsidRPr="0014419E">
        <w:t xml:space="preserve">Anderson, K. J., Revelle, W., &amp; Lynch, M. J. (1989). Caffeine, impulsivity, and memory scanning: A comparison of two explanations for the Yerkes-Dodson Effect. </w:t>
      </w:r>
      <w:r w:rsidRPr="0014419E">
        <w:rPr>
          <w:i/>
          <w:iCs/>
        </w:rPr>
        <w:t>Motivation and Emotion, 13</w:t>
      </w:r>
      <w:r w:rsidRPr="0014419E">
        <w:t>(1), 1-20.</w:t>
      </w:r>
    </w:p>
    <w:p w:rsidR="0014419E" w:rsidRDefault="0014419E" w:rsidP="0014419E">
      <w:pPr>
        <w:pStyle w:val="EndNoteBibliography"/>
        <w:ind w:left="720" w:hanging="720"/>
      </w:pPr>
    </w:p>
    <w:p w:rsidR="0014419E" w:rsidRPr="0014419E" w:rsidRDefault="0014419E" w:rsidP="0014419E">
      <w:pPr>
        <w:pStyle w:val="EndNoteBibliography"/>
        <w:ind w:left="720" w:hanging="720"/>
      </w:pPr>
      <w:r w:rsidRPr="0014419E">
        <w:t xml:space="preserve">Yerkes, R. M., &amp; Dodson, J. D. (1908). The relation of strength of stimulus to rapidity of habit-formation. </w:t>
      </w:r>
      <w:r w:rsidRPr="0014419E">
        <w:rPr>
          <w:i/>
        </w:rPr>
        <w:t>Journal of Comparative Neurology and Psychology, 18</w:t>
      </w:r>
      <w:r w:rsidRPr="0014419E">
        <w:t>(5), 459–482. doi:10.1002/cne.920180503</w:t>
      </w:r>
    </w:p>
    <w:p w:rsidR="0014419E" w:rsidRDefault="0014419E" w:rsidP="00A000D2">
      <w:pPr>
        <w:rPr>
          <w:rFonts w:eastAsia="Arial" w:cs="Times New Roman"/>
          <w:b/>
          <w:sz w:val="28"/>
          <w:szCs w:val="28"/>
        </w:rPr>
      </w:pPr>
    </w:p>
    <w:p w:rsidR="00A000D2" w:rsidRDefault="00A000D2" w:rsidP="00E50A19">
      <w:pPr>
        <w:rPr>
          <w:rFonts w:eastAsia="Arial" w:cs="Times New Roman"/>
          <w:b/>
          <w:sz w:val="28"/>
          <w:szCs w:val="28"/>
        </w:rPr>
      </w:pPr>
    </w:p>
    <w:p w:rsidR="00A000D2" w:rsidRDefault="00E50A19" w:rsidP="00E50A19">
      <w:pPr>
        <w:rPr>
          <w:rFonts w:eastAsia="Arial" w:cs="Times New Roman"/>
          <w:b/>
          <w:sz w:val="28"/>
          <w:szCs w:val="28"/>
        </w:rPr>
      </w:pPr>
      <w:proofErr w:type="spellStart"/>
      <w:r w:rsidRPr="00F3120B">
        <w:rPr>
          <w:rFonts w:eastAsia="Arial" w:cs="Times New Roman"/>
          <w:b/>
          <w:sz w:val="28"/>
          <w:szCs w:val="28"/>
          <w:highlight w:val="green"/>
        </w:rPr>
        <w:t>ACQol</w:t>
      </w:r>
      <w:proofErr w:type="spellEnd"/>
      <w:r w:rsidRPr="00F3120B">
        <w:rPr>
          <w:rFonts w:eastAsia="Arial" w:cs="Times New Roman"/>
          <w:b/>
          <w:sz w:val="28"/>
          <w:szCs w:val="28"/>
          <w:highlight w:val="green"/>
        </w:rPr>
        <w:t xml:space="preserve"> Bulletin Vol 3/</w:t>
      </w:r>
      <w:r w:rsidR="00A000D2" w:rsidRPr="00F3120B">
        <w:rPr>
          <w:rFonts w:eastAsia="Arial" w:cs="Times New Roman"/>
          <w:b/>
          <w:sz w:val="28"/>
          <w:szCs w:val="28"/>
          <w:highlight w:val="green"/>
        </w:rPr>
        <w:t>28</w:t>
      </w:r>
      <w:r w:rsidRPr="00F3120B">
        <w:rPr>
          <w:rFonts w:eastAsia="Arial" w:cs="Times New Roman"/>
          <w:b/>
          <w:sz w:val="28"/>
          <w:szCs w:val="28"/>
          <w:highlight w:val="green"/>
        </w:rPr>
        <w:t xml:space="preserve">: </w:t>
      </w:r>
      <w:r w:rsidR="00A000D2" w:rsidRPr="00F3120B">
        <w:rPr>
          <w:rFonts w:eastAsia="Arial" w:cs="Times New Roman"/>
          <w:b/>
          <w:sz w:val="28"/>
          <w:szCs w:val="28"/>
          <w:highlight w:val="green"/>
        </w:rPr>
        <w:t>110719</w:t>
      </w:r>
    </w:p>
    <w:p w:rsidR="00E50A19" w:rsidRPr="00BB5D46" w:rsidRDefault="00E50A19" w:rsidP="00E50A19">
      <w:pPr>
        <w:rPr>
          <w:rFonts w:eastAsia="Arial" w:cs="Times New Roman"/>
          <w:b/>
          <w:sz w:val="28"/>
          <w:szCs w:val="28"/>
        </w:rPr>
      </w:pPr>
      <w:r w:rsidRPr="00BB5D46">
        <w:rPr>
          <w:rFonts w:eastAsia="Arial" w:cs="Times New Roman"/>
          <w:b/>
          <w:sz w:val="28"/>
          <w:szCs w:val="28"/>
        </w:rPr>
        <w:t>Bulletin of the Australian Centre on Quality of Life</w:t>
      </w:r>
    </w:p>
    <w:p w:rsidR="00E50A19" w:rsidRPr="00BB5D46" w:rsidRDefault="00DF3874" w:rsidP="00E50A19">
      <w:pPr>
        <w:rPr>
          <w:rFonts w:eastAsia="Arial" w:cs="Times New Roman"/>
        </w:rPr>
      </w:pPr>
      <w:hyperlink r:id="rId216" w:history="1">
        <w:r w:rsidR="00E50A19" w:rsidRPr="00BB5D46">
          <w:rPr>
            <w:rFonts w:eastAsia="Arial" w:cs="Times New Roman"/>
            <w:color w:val="0563C1"/>
            <w:u w:val="single"/>
          </w:rPr>
          <w:t>http://www.acqol.com.au/</w:t>
        </w:r>
      </w:hyperlink>
    </w:p>
    <w:p w:rsidR="00E50A19" w:rsidRPr="00AE19B8" w:rsidRDefault="00E50A19" w:rsidP="00E50A19">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E50A19" w:rsidRPr="00BB5D46" w:rsidRDefault="00E50A19" w:rsidP="00E50A19">
      <w:pPr>
        <w:rPr>
          <w:rFonts w:eastAsia="Arial" w:cs="Times New Roman"/>
          <w:b/>
        </w:rPr>
      </w:pPr>
      <w:r w:rsidRPr="00BB5D46">
        <w:rPr>
          <w:rFonts w:eastAsia="Arial" w:cs="Times New Roman"/>
          <w:b/>
        </w:rPr>
        <w:t xml:space="preserve">Back-issues of the Bulletin are available at </w:t>
      </w:r>
      <w:hyperlink r:id="rId217" w:anchor="bulletins" w:history="1">
        <w:r w:rsidRPr="00BB5D46">
          <w:rPr>
            <w:rFonts w:eastAsia="Arial" w:cs="Times New Roman"/>
            <w:color w:val="0563C1"/>
            <w:u w:val="single"/>
          </w:rPr>
          <w:t>http://www.acqol.com.au/projects#bulletins</w:t>
        </w:r>
      </w:hyperlink>
    </w:p>
    <w:p w:rsidR="00E50A19" w:rsidRPr="00BB5D46" w:rsidRDefault="00E50A19" w:rsidP="00E50A19">
      <w:pPr>
        <w:rPr>
          <w:rFonts w:eastAsia="Arial" w:cs="Times New Roman"/>
          <w:color w:val="0563C1"/>
          <w:u w:val="single"/>
        </w:rPr>
      </w:pPr>
    </w:p>
    <w:p w:rsidR="00E50A19" w:rsidRPr="00BB5D46" w:rsidRDefault="00E50A19" w:rsidP="00E50A19">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E50A19" w:rsidRDefault="00E50A19" w:rsidP="00E50A19">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E50A19" w:rsidRPr="00BB5D46" w:rsidRDefault="00E50A19" w:rsidP="00E50A19">
      <w:pPr>
        <w:rPr>
          <w:rFonts w:eastAsia="Arial" w:cs="Times New Roman"/>
        </w:rPr>
      </w:pPr>
    </w:p>
    <w:p w:rsidR="00E50A19" w:rsidRPr="00BB5D46" w:rsidRDefault="00E50A19" w:rsidP="00E50A19">
      <w:pPr>
        <w:rPr>
          <w:rFonts w:eastAsia="Arial" w:cs="Times New Roman"/>
        </w:rPr>
      </w:pPr>
    </w:p>
    <w:p w:rsidR="00E50A19" w:rsidRPr="00BB5D46" w:rsidRDefault="00E50A19" w:rsidP="00E50A19">
      <w:pPr>
        <w:jc w:val="center"/>
        <w:rPr>
          <w:rFonts w:eastAsia="Arial" w:cs="Times New Roman"/>
          <w:b/>
          <w:sz w:val="32"/>
          <w:szCs w:val="32"/>
        </w:rPr>
      </w:pPr>
      <w:r w:rsidRPr="00BB5D46">
        <w:rPr>
          <w:rFonts w:eastAsia="Arial" w:cs="Times New Roman"/>
          <w:b/>
          <w:sz w:val="32"/>
          <w:szCs w:val="32"/>
        </w:rPr>
        <w:t>Paper for private study</w:t>
      </w:r>
    </w:p>
    <w:p w:rsidR="00E50A19" w:rsidRPr="00CD5885" w:rsidRDefault="00E50A19" w:rsidP="00A000D2">
      <w:pPr>
        <w:jc w:val="center"/>
        <w:rPr>
          <w:rFonts w:eastAsia="Arial" w:cs="Times New Roman"/>
        </w:rPr>
      </w:pPr>
      <w:r w:rsidRPr="00BB5D46">
        <w:rPr>
          <w:rFonts w:eastAsia="Arial" w:cs="Times New Roman"/>
          <w:i/>
        </w:rPr>
        <w:t xml:space="preserve">The attached paper, on the topic of life quality, is sent to you for your personal private study and discussion within </w:t>
      </w:r>
      <w:proofErr w:type="spellStart"/>
      <w:r w:rsidRPr="00BB5D46">
        <w:rPr>
          <w:rFonts w:eastAsia="Arial" w:cs="Times New Roman"/>
          <w:i/>
        </w:rPr>
        <w:t>ACQol</w:t>
      </w:r>
      <w:proofErr w:type="spellEnd"/>
      <w:r w:rsidRPr="00BB5D46">
        <w:rPr>
          <w:rFonts w:eastAsia="Arial" w:cs="Times New Roman"/>
          <w:i/>
        </w:rPr>
        <w:t>. You are prohibited from further distributing this paper to any other person</w:t>
      </w:r>
      <w:r w:rsidRPr="00BB5D46">
        <w:rPr>
          <w:rFonts w:eastAsia="Arial" w:cs="Times New Roman"/>
        </w:rPr>
        <w:t>.</w:t>
      </w:r>
    </w:p>
    <w:p w:rsidR="00E50A19" w:rsidRDefault="00E50A19" w:rsidP="00E50A19">
      <w:pPr>
        <w:jc w:val="center"/>
        <w:rPr>
          <w:rFonts w:eastAsia="Arial" w:cs="Times New Roman"/>
        </w:rPr>
      </w:pPr>
    </w:p>
    <w:p w:rsidR="00E50A19" w:rsidRDefault="00E50A19" w:rsidP="00E50A19">
      <w:pPr>
        <w:jc w:val="center"/>
        <w:rPr>
          <w:rFonts w:eastAsia="Arial" w:cs="Times New Roman"/>
        </w:rPr>
      </w:pPr>
    </w:p>
    <w:p w:rsidR="00E50A19" w:rsidRPr="00BB5D46" w:rsidRDefault="00E50A19" w:rsidP="00E50A19">
      <w:pPr>
        <w:jc w:val="center"/>
        <w:rPr>
          <w:rFonts w:eastAsia="Arial" w:cs="Times New Roman"/>
          <w:b/>
          <w:sz w:val="32"/>
          <w:szCs w:val="32"/>
        </w:rPr>
      </w:pPr>
      <w:r>
        <w:rPr>
          <w:rFonts w:eastAsia="Arial" w:cs="Times New Roman"/>
          <w:b/>
          <w:sz w:val="32"/>
          <w:szCs w:val="32"/>
        </w:rPr>
        <w:t>Comments for discussion from last week</w:t>
      </w:r>
    </w:p>
    <w:p w:rsidR="00E50A19" w:rsidRPr="008B2E55" w:rsidRDefault="00E50A19" w:rsidP="00E50A19">
      <w:pPr>
        <w:jc w:val="center"/>
        <w:rPr>
          <w:rFonts w:eastAsia="Arial" w:cs="Times New Roman"/>
          <w:i/>
        </w:rPr>
      </w:pPr>
      <w:r w:rsidRPr="008B2E55">
        <w:rPr>
          <w:rFonts w:eastAsia="Arial" w:cs="Times New Roman"/>
          <w:i/>
        </w:rPr>
        <w:t>In last week’s Bulletin (</w:t>
      </w:r>
      <w:r w:rsidR="00A000D2">
        <w:rPr>
          <w:rFonts w:eastAsia="Arial" w:cs="Times New Roman"/>
          <w:i/>
        </w:rPr>
        <w:t>3/27</w:t>
      </w:r>
      <w:r w:rsidRPr="008B2E55">
        <w:rPr>
          <w:rFonts w:eastAsia="Arial" w:cs="Times New Roman"/>
          <w:i/>
        </w:rPr>
        <w:t xml:space="preserve">) Cummins </w:t>
      </w:r>
      <w:r w:rsidR="00A000D2">
        <w:rPr>
          <w:rFonts w:eastAsia="Arial" w:cs="Times New Roman"/>
          <w:i/>
        </w:rPr>
        <w:t xml:space="preserve">proposed a novel theoretical relationship between stress and homeostasis. </w:t>
      </w:r>
      <w:r w:rsidRPr="008B2E55">
        <w:rPr>
          <w:rFonts w:eastAsia="Arial" w:cs="Times New Roman"/>
          <w:i/>
        </w:rPr>
        <w:t xml:space="preserve"> </w:t>
      </w:r>
      <w:r w:rsidR="00A000D2">
        <w:rPr>
          <w:rFonts w:eastAsia="Arial" w:cs="Times New Roman"/>
          <w:i/>
        </w:rPr>
        <w:t>This proposal is copied into the attached document. Comments from members are shown below, together with Cummins’ replies.</w:t>
      </w:r>
    </w:p>
    <w:p w:rsidR="00A000D2" w:rsidRDefault="00A000D2" w:rsidP="00E50A19">
      <w:pPr>
        <w:rPr>
          <w:rFonts w:eastAsia="Arial" w:cs="Times New Roman"/>
          <w:bCs/>
          <w:i/>
          <w:lang w:val="en-US"/>
        </w:rPr>
      </w:pPr>
    </w:p>
    <w:p w:rsidR="00245727" w:rsidRPr="00A000D2" w:rsidRDefault="00245727" w:rsidP="00245727">
      <w:pPr>
        <w:rPr>
          <w:rFonts w:eastAsia="Times New Roman" w:cs="Times New Roman"/>
          <w:b/>
          <w:lang w:val="en-US"/>
        </w:rPr>
      </w:pPr>
      <w:r w:rsidRPr="00A000D2">
        <w:rPr>
          <w:rFonts w:eastAsia="Times New Roman" w:cs="Times New Roman"/>
          <w:b/>
          <w:lang w:val="en-US"/>
        </w:rPr>
        <w:t xml:space="preserve">Ivan Brown &lt;ivan.brown@utoronto.ca&gt; </w:t>
      </w:r>
    </w:p>
    <w:p w:rsidR="00245727" w:rsidRPr="003F640D" w:rsidRDefault="00245727" w:rsidP="00245727">
      <w:pPr>
        <w:rPr>
          <w:rFonts w:asciiTheme="minorHAnsi" w:eastAsia="Times New Roman" w:hAnsiTheme="minorHAnsi" w:cstheme="minorHAnsi"/>
          <w:lang w:eastAsia="en-AU"/>
        </w:rPr>
      </w:pPr>
      <w:r w:rsidRPr="003F640D">
        <w:rPr>
          <w:rFonts w:asciiTheme="minorHAnsi" w:eastAsia="Times New Roman" w:hAnsiTheme="minorHAnsi" w:cstheme="minorHAnsi"/>
          <w:lang w:eastAsia="en-AU"/>
        </w:rPr>
        <w:t>“I understand that set-points are primarily genetically determined. It is also possible to get overwhelmed and "stuck" either above or below the set-point when occurrences initially move mood higher or lower and when this challenge to the status quo is stronger than natural homeostatic controls to return it to the set-point. Sean's question was: can you keep your mood level permanently higher (move your set-point higher) by purposive action?  A simple example might be to train yourself to see the glass half full rather than half empty. To your way of thinking, if this resulted in a more positive ongoing mood, would that be just a prolonged temporary state, or do humans have the ability to permanently move their set-points to some degree?” </w:t>
      </w:r>
    </w:p>
    <w:p w:rsidR="00245727" w:rsidRDefault="00245727" w:rsidP="00245727">
      <w:pPr>
        <w:rPr>
          <w:rFonts w:ascii="Calibri" w:eastAsia="Times New Roman" w:hAnsi="Calibri" w:cs="Calibri"/>
          <w:sz w:val="22"/>
          <w:szCs w:val="22"/>
          <w:lang w:val="en-US"/>
        </w:rPr>
      </w:pPr>
    </w:p>
    <w:p w:rsidR="00245727" w:rsidRPr="008B2E55" w:rsidRDefault="00245727" w:rsidP="00245727">
      <w:pPr>
        <w:rPr>
          <w:rFonts w:eastAsia="Arial" w:cs="Times New Roman"/>
          <w:i/>
        </w:rPr>
      </w:pPr>
      <w:r w:rsidRPr="008B2E55">
        <w:rPr>
          <w:rFonts w:eastAsia="Arial" w:cs="Times New Roman"/>
          <w:i/>
        </w:rPr>
        <w:t>Cummins responds:</w:t>
      </w:r>
    </w:p>
    <w:p w:rsidR="00245727" w:rsidRPr="002A1BFF" w:rsidRDefault="00245727" w:rsidP="00245727">
      <w:pPr>
        <w:rPr>
          <w:rFonts w:eastAsia="Arial" w:cs="Times New Roman"/>
          <w:u w:val="single"/>
        </w:rPr>
      </w:pPr>
      <w:r w:rsidRPr="002A1BFF">
        <w:rPr>
          <w:rFonts w:eastAsia="Arial" w:cs="Times New Roman"/>
          <w:u w:val="single"/>
        </w:rPr>
        <w:t xml:space="preserve">(1) </w:t>
      </w:r>
      <w:r w:rsidRPr="003F640D">
        <w:rPr>
          <w:rFonts w:asciiTheme="minorHAnsi" w:eastAsia="Arial" w:hAnsiTheme="minorHAnsi" w:cstheme="minorHAnsi"/>
          <w:u w:val="single"/>
        </w:rPr>
        <w:t>Can you move your set-point higher?</w:t>
      </w:r>
    </w:p>
    <w:p w:rsidR="00245727" w:rsidRDefault="00245727" w:rsidP="00245727">
      <w:pPr>
        <w:rPr>
          <w:rFonts w:eastAsia="Arial" w:cs="Times New Roman"/>
        </w:rPr>
      </w:pPr>
      <w:r>
        <w:rPr>
          <w:rFonts w:eastAsia="Arial" w:cs="Times New Roman"/>
        </w:rPr>
        <w:t xml:space="preserve">I suspect the answer is yes and no. </w:t>
      </w:r>
    </w:p>
    <w:p w:rsidR="00245727" w:rsidRDefault="00245727" w:rsidP="00245727">
      <w:pPr>
        <w:pStyle w:val="ListParagraph"/>
        <w:numPr>
          <w:ilvl w:val="0"/>
          <w:numId w:val="10"/>
        </w:numPr>
        <w:rPr>
          <w:rFonts w:eastAsia="Arial" w:cs="Times New Roman"/>
        </w:rPr>
      </w:pPr>
      <w:r>
        <w:rPr>
          <w:rFonts w:eastAsia="Arial" w:cs="Times New Roman"/>
        </w:rPr>
        <w:t xml:space="preserve">In support of the ‘No’ case, the basic genetic setting cannot be changed. So, </w:t>
      </w:r>
      <w:r w:rsidR="00A17D37">
        <w:rPr>
          <w:rFonts w:eastAsia="Arial" w:cs="Times New Roman"/>
        </w:rPr>
        <w:t xml:space="preserve">on a 0 to 100 point scale, </w:t>
      </w:r>
      <w:r>
        <w:rPr>
          <w:rFonts w:eastAsia="Arial" w:cs="Times New Roman"/>
        </w:rPr>
        <w:t xml:space="preserve">someone with a </w:t>
      </w:r>
      <w:proofErr w:type="spellStart"/>
      <w:r>
        <w:rPr>
          <w:rFonts w:eastAsia="Arial" w:cs="Times New Roman"/>
        </w:rPr>
        <w:t>setpoint</w:t>
      </w:r>
      <w:proofErr w:type="spellEnd"/>
      <w:r>
        <w:rPr>
          <w:rFonts w:eastAsia="Arial" w:cs="Times New Roman"/>
        </w:rPr>
        <w:t xml:space="preserve"> of 80 points </w:t>
      </w:r>
      <w:r>
        <w:rPr>
          <w:rFonts w:eastAsia="Arial" w:cs="Times New Roman"/>
        </w:rPr>
        <w:fldChar w:fldCharType="begin"/>
      </w:r>
      <w:r w:rsidR="007B5802">
        <w:rPr>
          <w:rFonts w:eastAsia="Arial" w:cs="Times New Roman"/>
        </w:rPr>
        <w:instrText xml:space="preserve"> ADDIN EN.CITE &lt;EndNote&gt;&lt;Cite&gt;&lt;Author&gt;Capic&lt;/Author&gt;&lt;Year&gt;2018b&lt;/Year&gt;&lt;RecNum&gt;3195&lt;/RecNum&gt;&lt;Prefix&gt;which is average: &lt;/Prefix&gt;&lt;DisplayText&gt;(which is average: Capic et al., 2018)&lt;/DisplayText&gt;&lt;record&gt;&lt;rec-number&gt;3195&lt;/rec-number&gt;&lt;foreign-keys&gt;&lt;key app="EN" db-id="z2xarpe9cfrvp4ezdxk5ddx9dsrzr05f22sa" timestamp="1501231491"&gt;3195&lt;/key&gt;&lt;/foreign-keys&gt;&lt;ref-type name="Journal Article"&gt;17&lt;/ref-type&gt;&lt;contributors&gt;&lt;authors&gt;&lt;author&gt;Capic, T.&lt;/author&gt;&lt;author&gt;Li, N.&lt;/author&gt;&lt;author&gt;Cummins, R. A.&lt;/author&gt;&lt;/authors&gt;&lt;/contributors&gt;&lt;titles&gt;&lt;title&gt;Confirmation of Subjective Wellbeing Set-points: Foundational for Subjective Social Indicators&lt;/title&gt;&lt;secondary-title&gt;Social Indicators Research&lt;/secondary-title&gt;&lt;/titles&gt;&lt;periodical&gt;&lt;full-title&gt;Social Indicators Research&lt;/full-title&gt;&lt;/periodical&gt;&lt;pages&gt;1-28&lt;/pages&gt;&lt;volume&gt;137&lt;/volume&gt;&lt;number&gt;1&lt;/number&gt;&lt;dates&gt;&lt;year&gt;2018&lt;/year&gt;&lt;/dates&gt;&lt;urls&gt;&lt;related-urls&gt;&lt;url&gt;10.1007/s11205-017-1585-5&lt;/url&gt;&lt;/related-urls&gt;&lt;/urls&gt;&lt;/record&gt;&lt;/Cite&gt;&lt;/EndNote&gt;</w:instrText>
      </w:r>
      <w:r>
        <w:rPr>
          <w:rFonts w:eastAsia="Arial" w:cs="Times New Roman"/>
        </w:rPr>
        <w:fldChar w:fldCharType="separate"/>
      </w:r>
      <w:r w:rsidR="007B5802">
        <w:rPr>
          <w:rFonts w:eastAsia="Arial" w:cs="Times New Roman"/>
          <w:noProof/>
        </w:rPr>
        <w:t>(which is average: Capic et al., 2018)</w:t>
      </w:r>
      <w:r>
        <w:rPr>
          <w:rFonts w:eastAsia="Arial" w:cs="Times New Roman"/>
        </w:rPr>
        <w:fldChar w:fldCharType="end"/>
      </w:r>
      <w:r>
        <w:rPr>
          <w:rFonts w:eastAsia="Arial" w:cs="Times New Roman"/>
        </w:rPr>
        <w:t xml:space="preserve"> </w:t>
      </w:r>
      <w:r w:rsidRPr="00C2717B">
        <w:rPr>
          <w:rFonts w:eastAsia="Arial" w:cs="Times New Roman"/>
        </w:rPr>
        <w:t xml:space="preserve">has inherited a homeostatic system which will always be trying to return the output (Homeostatically Protected Mood: HPMood) to correspond with set-point. As </w:t>
      </w:r>
      <w:r>
        <w:rPr>
          <w:rFonts w:eastAsia="Arial" w:cs="Times New Roman"/>
        </w:rPr>
        <w:t xml:space="preserve">circumstantial </w:t>
      </w:r>
      <w:r w:rsidRPr="00C2717B">
        <w:rPr>
          <w:rFonts w:eastAsia="Arial" w:cs="Times New Roman"/>
        </w:rPr>
        <w:t xml:space="preserve">evidence, there is no reason for the capacity for set-point change </w:t>
      </w:r>
      <w:r w:rsidRPr="00C2717B">
        <w:rPr>
          <w:rFonts w:eastAsia="Arial" w:cs="Times New Roman"/>
          <w:i/>
        </w:rPr>
        <w:t xml:space="preserve">within an individual </w:t>
      </w:r>
      <w:r w:rsidRPr="00C2717B">
        <w:rPr>
          <w:rFonts w:eastAsia="Arial" w:cs="Times New Roman"/>
        </w:rPr>
        <w:t>to have evolved. Rather, genetic selection can change the population distribution of set-points</w:t>
      </w:r>
      <w:r w:rsidR="00A17D37">
        <w:rPr>
          <w:rFonts w:eastAsia="Arial" w:cs="Times New Roman"/>
        </w:rPr>
        <w:t>,</w:t>
      </w:r>
      <w:r w:rsidRPr="00C2717B">
        <w:rPr>
          <w:rFonts w:eastAsia="Arial" w:cs="Times New Roman"/>
        </w:rPr>
        <w:t xml:space="preserve"> </w:t>
      </w:r>
      <w:r w:rsidR="00A17D37">
        <w:rPr>
          <w:rFonts w:eastAsia="Arial" w:cs="Times New Roman"/>
        </w:rPr>
        <w:t>using</w:t>
      </w:r>
      <w:r w:rsidRPr="00C2717B">
        <w:rPr>
          <w:rFonts w:eastAsia="Arial" w:cs="Times New Roman"/>
        </w:rPr>
        <w:t xml:space="preserve"> natural selection, if that is required to optimise</w:t>
      </w:r>
      <w:r>
        <w:rPr>
          <w:rFonts w:eastAsia="Arial" w:cs="Times New Roman"/>
        </w:rPr>
        <w:t xml:space="preserve"> the level for</w:t>
      </w:r>
      <w:r w:rsidRPr="00C2717B">
        <w:rPr>
          <w:rFonts w:eastAsia="Arial" w:cs="Times New Roman"/>
        </w:rPr>
        <w:t xml:space="preserve"> average </w:t>
      </w:r>
      <w:r>
        <w:rPr>
          <w:rFonts w:eastAsia="Arial" w:cs="Times New Roman"/>
        </w:rPr>
        <w:t xml:space="preserve">population </w:t>
      </w:r>
      <w:r w:rsidRPr="00C2717B">
        <w:rPr>
          <w:rFonts w:eastAsia="Arial" w:cs="Times New Roman"/>
        </w:rPr>
        <w:t>adaptation.</w:t>
      </w:r>
    </w:p>
    <w:p w:rsidR="00245727" w:rsidRDefault="00245727" w:rsidP="00245727">
      <w:pPr>
        <w:pStyle w:val="ListParagraph"/>
        <w:ind w:left="1080"/>
        <w:rPr>
          <w:rFonts w:eastAsia="Arial" w:cs="Times New Roman"/>
        </w:rPr>
      </w:pPr>
    </w:p>
    <w:p w:rsidR="00245727" w:rsidRDefault="00245727" w:rsidP="00245727">
      <w:pPr>
        <w:pStyle w:val="ListParagraph"/>
        <w:numPr>
          <w:ilvl w:val="0"/>
          <w:numId w:val="10"/>
        </w:numPr>
        <w:rPr>
          <w:rFonts w:eastAsia="Arial" w:cs="Times New Roman"/>
        </w:rPr>
      </w:pPr>
      <w:r w:rsidRPr="00C2717B">
        <w:rPr>
          <w:rFonts w:eastAsia="Arial" w:cs="Times New Roman"/>
        </w:rPr>
        <w:t xml:space="preserve">The capacity to change the resting-level of HPMood, can be </w:t>
      </w:r>
      <w:proofErr w:type="gramStart"/>
      <w:r w:rsidRPr="00C2717B">
        <w:rPr>
          <w:rFonts w:eastAsia="Arial" w:cs="Times New Roman"/>
        </w:rPr>
        <w:t>effected</w:t>
      </w:r>
      <w:proofErr w:type="gramEnd"/>
      <w:r w:rsidRPr="00C2717B">
        <w:rPr>
          <w:rFonts w:eastAsia="Arial" w:cs="Times New Roman"/>
        </w:rPr>
        <w:t xml:space="preserve"> by a process called </w:t>
      </w:r>
      <w:proofErr w:type="spellStart"/>
      <w:r w:rsidRPr="00C2717B">
        <w:rPr>
          <w:rFonts w:eastAsia="Arial" w:cs="Times New Roman"/>
        </w:rPr>
        <w:t>Allostasis</w:t>
      </w:r>
      <w:proofErr w:type="spellEnd"/>
      <w:r w:rsidRPr="00C2717B">
        <w:rPr>
          <w:rFonts w:eastAsia="Arial" w:cs="Times New Roman"/>
        </w:rPr>
        <w:t xml:space="preserve">.  Coined by </w:t>
      </w:r>
      <w:r w:rsidRPr="00C2717B">
        <w:rPr>
          <w:rFonts w:eastAsia="Arial" w:cs="Times New Roman"/>
        </w:rPr>
        <w:fldChar w:fldCharType="begin"/>
      </w:r>
      <w:r w:rsidRPr="00C2717B">
        <w:rPr>
          <w:rFonts w:eastAsia="Arial" w:cs="Times New Roman"/>
        </w:rPr>
        <w:instrText xml:space="preserve"> ADDIN EN.CITE &lt;EndNote&gt;&lt;Cite AuthorYear="1"&gt;&lt;Author&gt;Sterling&lt;/Author&gt;&lt;Year&gt;1988&lt;/Year&gt;&lt;RecNum&gt;1013&lt;/RecNum&gt;&lt;DisplayText&gt;Sterling and Eyer (1988)&lt;/DisplayText&gt;&lt;record&gt;&lt;rec-number&gt;1013&lt;/rec-number&gt;&lt;foreign-keys&gt;&lt;key app="EN" db-id="z2xarpe9cfrvp4ezdxk5ddx9dsrzr05f22sa" timestamp="1378356962"&gt;1013&lt;/key&gt;&lt;/foreign-keys&gt;&lt;ref-type name="Book Section"&gt;5&lt;/ref-type&gt;&lt;contributors&gt;&lt;authors&gt;&lt;author&gt;Sterling, P. &lt;/author&gt;&lt;author&gt;Eyer, J.&lt;/author&gt;&lt;/authors&gt;&lt;secondary-authors&gt;&lt;author&gt;Fisher, S.&lt;/author&gt;&lt;author&gt;Reason, J.&lt;/author&gt;&lt;/secondary-authors&gt;&lt;/contributors&gt;&lt;titles&gt;&lt;title&gt;Allostasis: A New Paradigm to Explain Arousal Pathology. Handbook of Life Stress&lt;/title&gt;&lt;secondary-title&gt;Cognition and Health&lt;/secondary-title&gt;&lt;/titles&gt;&lt;pages&gt;629-649&lt;/pages&gt;&lt;dates&gt;&lt;year&gt;1988&lt;/year&gt;&lt;/dates&gt;&lt;pub-location&gt;New York&lt;/pub-location&gt;&lt;publisher&gt;John Wiley &amp;amp; Sons&lt;/publisher&gt;&lt;urls&gt;&lt;/urls&gt;&lt;/record&gt;&lt;/Cite&gt;&lt;/EndNote&gt;</w:instrText>
      </w:r>
      <w:r w:rsidRPr="00C2717B">
        <w:rPr>
          <w:rFonts w:eastAsia="Arial" w:cs="Times New Roman"/>
        </w:rPr>
        <w:fldChar w:fldCharType="separate"/>
      </w:r>
      <w:r w:rsidRPr="00C2717B">
        <w:rPr>
          <w:rFonts w:eastAsia="Arial" w:cs="Times New Roman"/>
          <w:noProof/>
        </w:rPr>
        <w:t>Sterling and Eyer (1988)</w:t>
      </w:r>
      <w:r w:rsidRPr="00C2717B">
        <w:rPr>
          <w:rFonts w:eastAsia="Arial" w:cs="Times New Roman"/>
        </w:rPr>
        <w:fldChar w:fldCharType="end"/>
      </w:r>
      <w:r w:rsidRPr="00C2717B">
        <w:rPr>
          <w:rFonts w:eastAsia="Arial" w:cs="Times New Roman"/>
        </w:rPr>
        <w:t xml:space="preserve">, </w:t>
      </w:r>
      <w:proofErr w:type="spellStart"/>
      <w:r w:rsidRPr="00C2717B">
        <w:rPr>
          <w:rFonts w:eastAsia="Arial" w:cs="Times New Roman"/>
        </w:rPr>
        <w:t>Allostasis</w:t>
      </w:r>
      <w:proofErr w:type="spellEnd"/>
      <w:r w:rsidRPr="00C2717B">
        <w:rPr>
          <w:rFonts w:eastAsia="Arial" w:cs="Times New Roman"/>
        </w:rPr>
        <w:t xml:space="preserve"> is a general term, referring to changing the levels of operation within supporting systems. It describes a dynamic form of regulatory control that can be switched on or off to cope with demand </w:t>
      </w:r>
      <w:r w:rsidRPr="00C2717B">
        <w:rPr>
          <w:rFonts w:eastAsia="Arial" w:cs="Times New Roman"/>
        </w:rPr>
        <w:fldChar w:fldCharType="begin"/>
      </w:r>
      <w:r w:rsidRPr="00C2717B">
        <w:rPr>
          <w:rFonts w:eastAsia="Arial" w:cs="Times New Roman"/>
        </w:rPr>
        <w:instrText xml:space="preserve"> ADDIN EN.CITE &lt;EndNote&gt;&lt;Cite&gt;&lt;Author&gt;McEwen&lt;/Author&gt;&lt;Year&gt;1998&lt;/Year&gt;&lt;RecNum&gt;1511&lt;/RecNum&gt;&lt;DisplayText&gt;(McEwen, 1998; McEwen &amp;amp; Wingfield, 2003)&lt;/DisplayText&gt;&lt;record&gt;&lt;rec-number&gt;1511&lt;/rec-number&gt;&lt;foreign-keys&gt;&lt;key app="EN" db-id="z2xarpe9cfrvp4ezdxk5ddx9dsrzr05f22sa" timestamp="1416039088"&gt;1511&lt;/key&gt;&lt;/foreign-keys&gt;&lt;ref-type name="Journal Article"&gt;17&lt;/ref-type&gt;&lt;contributors&gt;&lt;authors&gt;&lt;author&gt;McEwen, B. S.&lt;/author&gt;&lt;/authors&gt;&lt;/contributors&gt;&lt;titles&gt;&lt;title&gt;Stress, adaptation, and disease: Allostasis and allostatic load&lt;/title&gt;&lt;secondary-title&gt;Annals of the New York Academy of Sciences&lt;/secondary-title&gt;&lt;/titles&gt;&lt;periodical&gt;&lt;full-title&gt;Annals of the New York Academy of Sciences&lt;/full-title&gt;&lt;/periodical&gt;&lt;pages&gt;33-44&lt;/pages&gt;&lt;volume&gt;840&lt;/volume&gt;&lt;number&gt;1&lt;/number&gt;&lt;dates&gt;&lt;year&gt;1998&lt;/year&gt;&lt;/dates&gt;&lt;isbn&gt;1749-6632&lt;/isbn&gt;&lt;urls&gt;&lt;/urls&gt;&lt;/record&gt;&lt;/Cite&gt;&lt;Cite&gt;&lt;Author&gt;McEwen&lt;/Author&gt;&lt;Year&gt;2003&lt;/Year&gt;&lt;RecNum&gt;1602&lt;/RecNum&gt;&lt;record&gt;&lt;rec-number&gt;1602&lt;/rec-number&gt;&lt;foreign-keys&gt;&lt;key app="EN" db-id="z2xarpe9cfrvp4ezdxk5ddx9dsrzr05f22sa" timestamp="1419488773"&gt;1602&lt;/key&gt;&lt;/foreign-keys&gt;&lt;ref-type name="Journal Article"&gt;17&lt;/ref-type&gt;&lt;contributors&gt;&lt;authors&gt;&lt;author&gt;McEwen, B. S.&lt;/author&gt;&lt;author&gt;Wingfield, John C&lt;/author&gt;&lt;/authors&gt;&lt;/contributors&gt;&lt;titles&gt;&lt;title&gt;The concept of allostasis in biology and biomedicine&lt;/title&gt;&lt;secondary-title&gt;Hormones and behavior&lt;/secondary-title&gt;&lt;/titles&gt;&lt;periodical&gt;&lt;full-title&gt;Hormones and behavior&lt;/full-title&gt;&lt;/periodical&gt;&lt;pages&gt;2-15&lt;/pages&gt;&lt;volume&gt;43&lt;/volume&gt;&lt;number&gt;1&lt;/number&gt;&lt;dates&gt;&lt;year&gt;2003&lt;/year&gt;&lt;/dates&gt;&lt;isbn&gt;0018-506X&lt;/isbn&gt;&lt;urls&gt;&lt;/urls&gt;&lt;/record&gt;&lt;/Cite&gt;&lt;/EndNote&gt;</w:instrText>
      </w:r>
      <w:r w:rsidRPr="00C2717B">
        <w:rPr>
          <w:rFonts w:eastAsia="Arial" w:cs="Times New Roman"/>
        </w:rPr>
        <w:fldChar w:fldCharType="separate"/>
      </w:r>
      <w:r w:rsidRPr="00C2717B">
        <w:rPr>
          <w:rFonts w:eastAsia="Arial" w:cs="Times New Roman"/>
          <w:noProof/>
        </w:rPr>
        <w:t>(McEwen, 1998; McEwen &amp; Wingfield, 2003)</w:t>
      </w:r>
      <w:r w:rsidRPr="00C2717B">
        <w:rPr>
          <w:rFonts w:eastAsia="Arial" w:cs="Times New Roman"/>
        </w:rPr>
        <w:fldChar w:fldCharType="end"/>
      </w:r>
      <w:r w:rsidRPr="00C2717B">
        <w:rPr>
          <w:rFonts w:eastAsia="Arial" w:cs="Times New Roman"/>
        </w:rPr>
        <w:t>. Whereas homeostasis refers to regulation designed to defend a single, constant value (</w:t>
      </w:r>
      <w:proofErr w:type="spellStart"/>
      <w:r w:rsidRPr="00C2717B">
        <w:rPr>
          <w:rFonts w:eastAsia="Arial" w:cs="Times New Roman"/>
        </w:rPr>
        <w:t>setpoint</w:t>
      </w:r>
      <w:proofErr w:type="spellEnd"/>
      <w:r w:rsidRPr="00C2717B">
        <w:rPr>
          <w:rFonts w:eastAsia="Arial" w:cs="Times New Roman"/>
        </w:rPr>
        <w:t xml:space="preserve">), </w:t>
      </w:r>
      <w:proofErr w:type="spellStart"/>
      <w:r w:rsidRPr="00C2717B">
        <w:rPr>
          <w:rFonts w:eastAsia="Arial" w:cs="Times New Roman"/>
        </w:rPr>
        <w:t>allostasis</w:t>
      </w:r>
      <w:proofErr w:type="spellEnd"/>
      <w:r w:rsidRPr="00C2717B">
        <w:rPr>
          <w:rFonts w:eastAsia="Arial" w:cs="Times New Roman"/>
        </w:rPr>
        <w:t xml:space="preserve"> describes adaptation in variables such as blood pressure</w:t>
      </w:r>
      <w:r>
        <w:rPr>
          <w:rFonts w:eastAsia="Arial" w:cs="Times New Roman"/>
        </w:rPr>
        <w:t xml:space="preserve"> (or mood?)</w:t>
      </w:r>
      <w:r w:rsidRPr="00C2717B">
        <w:rPr>
          <w:rFonts w:eastAsia="Arial" w:cs="Times New Roman"/>
        </w:rPr>
        <w:t xml:space="preserve">, where the level of optimal functioning varies with demand. </w:t>
      </w:r>
      <w:r>
        <w:rPr>
          <w:rFonts w:eastAsia="Arial" w:cs="Times New Roman"/>
        </w:rPr>
        <w:t>But there is also a cost (see 2a below).</w:t>
      </w:r>
    </w:p>
    <w:p w:rsidR="00245727" w:rsidRDefault="00245727" w:rsidP="00245727">
      <w:pPr>
        <w:pStyle w:val="ListParagraph"/>
        <w:ind w:left="1080"/>
        <w:rPr>
          <w:rFonts w:eastAsia="Arial" w:cs="Times New Roman"/>
        </w:rPr>
      </w:pPr>
    </w:p>
    <w:p w:rsidR="00245727" w:rsidRDefault="00245727" w:rsidP="00245727">
      <w:pPr>
        <w:pStyle w:val="ListParagraph"/>
        <w:ind w:left="1080"/>
        <w:rPr>
          <w:rFonts w:eastAsia="Arial" w:cs="Times New Roman"/>
        </w:rPr>
      </w:pPr>
      <w:proofErr w:type="spellStart"/>
      <w:r w:rsidRPr="00C2717B">
        <w:rPr>
          <w:rFonts w:eastAsia="Arial" w:cs="Times New Roman"/>
        </w:rPr>
        <w:lastRenderedPageBreak/>
        <w:t>Allostasis</w:t>
      </w:r>
      <w:proofErr w:type="spellEnd"/>
      <w:r w:rsidRPr="00C2717B">
        <w:rPr>
          <w:rFonts w:eastAsia="Arial" w:cs="Times New Roman"/>
        </w:rPr>
        <w:t xml:space="preserve"> also emphasizes regulation in anticipation of change, such as anticipat</w:t>
      </w:r>
      <w:r>
        <w:rPr>
          <w:rFonts w:eastAsia="Arial" w:cs="Times New Roman"/>
        </w:rPr>
        <w:t>ing</w:t>
      </w:r>
      <w:r w:rsidRPr="00C2717B">
        <w:rPr>
          <w:rFonts w:eastAsia="Arial" w:cs="Times New Roman"/>
        </w:rPr>
        <w:t xml:space="preserve"> stress </w:t>
      </w:r>
      <w:r w:rsidRPr="00C2717B">
        <w:rPr>
          <w:rFonts w:eastAsia="Arial" w:cs="Times New Roman"/>
        </w:rPr>
        <w:fldChar w:fldCharType="begin"/>
      </w:r>
      <w:r w:rsidRPr="00C2717B">
        <w:rPr>
          <w:rFonts w:eastAsia="Arial" w:cs="Times New Roman"/>
        </w:rPr>
        <w:instrText xml:space="preserve"> ADDIN EN.CITE &lt;EndNote&gt;&lt;Cite&gt;&lt;Author&gt;Sapolsky&lt;/Author&gt;&lt;Year&gt;1994&lt;/Year&gt;&lt;RecNum&gt;1512&lt;/RecNum&gt;&lt;DisplayText&gt;(Sapolsky, 1994)&lt;/DisplayText&gt;&lt;record&gt;&lt;rec-number&gt;1512&lt;/rec-number&gt;&lt;foreign-keys&gt;&lt;key app="EN" db-id="z2xarpe9cfrvp4ezdxk5ddx9dsrzr05f22sa" timestamp="1416041250"&gt;1512&lt;/key&gt;&lt;/foreign-keys&gt;&lt;ref-type name="Book"&gt;6&lt;/ref-type&gt;&lt;contributors&gt;&lt;authors&gt;&lt;author&gt;Sapolsky, R. M.&lt;/author&gt;&lt;/authors&gt;&lt;/contributors&gt;&lt;titles&gt;&lt;title&gt;Why zebras don&amp;apos;t get ulcers: A guide to stress, stress-related diseases, and coping&lt;/title&gt;&lt;/titles&gt;&lt;dates&gt;&lt;year&gt;1994&lt;/year&gt;&lt;/dates&gt;&lt;pub-location&gt;New York&lt;/pub-location&gt;&lt;publisher&gt;W. H. Freeman&lt;/publisher&gt;&lt;urls&gt;&lt;/urls&gt;&lt;/record&gt;&lt;/Cite&gt;&lt;/EndNote&gt;</w:instrText>
      </w:r>
      <w:r w:rsidRPr="00C2717B">
        <w:rPr>
          <w:rFonts w:eastAsia="Arial" w:cs="Times New Roman"/>
        </w:rPr>
        <w:fldChar w:fldCharType="separate"/>
      </w:r>
      <w:r w:rsidRPr="00C2717B">
        <w:rPr>
          <w:rFonts w:eastAsia="Arial" w:cs="Times New Roman"/>
          <w:noProof/>
        </w:rPr>
        <w:t>(Sapolsky, 1994)</w:t>
      </w:r>
      <w:r w:rsidRPr="00C2717B">
        <w:rPr>
          <w:rFonts w:eastAsia="Arial" w:cs="Times New Roman"/>
        </w:rPr>
        <w:fldChar w:fldCharType="end"/>
      </w:r>
      <w:r w:rsidRPr="00C2717B">
        <w:rPr>
          <w:rFonts w:eastAsia="Arial" w:cs="Times New Roman"/>
        </w:rPr>
        <w:t xml:space="preserve">. Thus, allostatic regulation emphasizes feed-forward regulatory systems and anticipatory actions that allow, for example, adaptive social </w:t>
      </w:r>
      <w:proofErr w:type="spellStart"/>
      <w:r w:rsidRPr="00C2717B">
        <w:rPr>
          <w:rFonts w:eastAsia="Arial" w:cs="Times New Roman"/>
        </w:rPr>
        <w:t>behaviors</w:t>
      </w:r>
      <w:proofErr w:type="spellEnd"/>
      <w:r>
        <w:rPr>
          <w:rFonts w:eastAsia="Arial" w:cs="Times New Roman"/>
        </w:rPr>
        <w:t xml:space="preserve"> (or mood?)</w:t>
      </w:r>
      <w:r w:rsidRPr="00C2717B">
        <w:rPr>
          <w:rFonts w:eastAsia="Arial" w:cs="Times New Roman"/>
        </w:rPr>
        <w:t xml:space="preserve"> in a constantly changing environment </w:t>
      </w:r>
      <w:r w:rsidRPr="00C2717B">
        <w:rPr>
          <w:rFonts w:eastAsia="Arial" w:cs="Times New Roman"/>
        </w:rPr>
        <w:fldChar w:fldCharType="begin"/>
      </w:r>
      <w:r w:rsidRPr="00C2717B">
        <w:rPr>
          <w:rFonts w:eastAsia="Arial" w:cs="Times New Roman"/>
        </w:rPr>
        <w:instrText xml:space="preserve"> ADDIN EN.CITE &lt;EndNote&gt;&lt;Cite&gt;&lt;Author&gt;Schulkin&lt;/Author&gt;&lt;Year&gt;2011&lt;/Year&gt;&lt;RecNum&gt;1513&lt;/RecNum&gt;&lt;DisplayText&gt;(Schulkin, 2011)&lt;/DisplayText&gt;&lt;record&gt;&lt;rec-number&gt;1513&lt;/rec-number&gt;&lt;foreign-keys&gt;&lt;key app="EN" db-id="z2xarpe9cfrvp4ezdxk5ddx9dsrzr05f22sa" timestamp="1416041489"&gt;1513&lt;/key&gt;&lt;/foreign-keys&gt;&lt;ref-type name="Journal Article"&gt;17&lt;/ref-type&gt;&lt;contributors&gt;&lt;authors&gt;&lt;author&gt;Schulkin, J.&lt;/author&gt;&lt;/authors&gt;&lt;/contributors&gt;&lt;titles&gt;&lt;title&gt;Social allostasis: anticipatory regulation of the internal milieu&lt;/title&gt;&lt;secondary-title&gt;Frontiers in evolutionary neuroscience&lt;/secondary-title&gt;&lt;/titles&gt;&lt;periodical&gt;&lt;full-title&gt;Frontiers in evolutionary neuroscience&lt;/full-title&gt;&lt;/periodical&gt;&lt;pages&gt;1-15&lt;/pages&gt;&lt;volume&gt;2&lt;/volume&gt;&lt;number&gt;Article 111&lt;/number&gt;&lt;dates&gt;&lt;year&gt;2011&lt;/year&gt;&lt;/dates&gt;&lt;urls&gt;&lt;/urls&gt;&lt;electronic-resource-num&gt;10.3389/fnevo.2010.00111&lt;/electronic-resource-num&gt;&lt;/record&gt;&lt;/Cite&gt;&lt;/EndNote&gt;</w:instrText>
      </w:r>
      <w:r w:rsidRPr="00C2717B">
        <w:rPr>
          <w:rFonts w:eastAsia="Arial" w:cs="Times New Roman"/>
        </w:rPr>
        <w:fldChar w:fldCharType="separate"/>
      </w:r>
      <w:r w:rsidRPr="00C2717B">
        <w:rPr>
          <w:rFonts w:eastAsia="Arial" w:cs="Times New Roman"/>
          <w:noProof/>
        </w:rPr>
        <w:t>(Schulkin, 2011)</w:t>
      </w:r>
      <w:r w:rsidRPr="00C2717B">
        <w:rPr>
          <w:rFonts w:eastAsia="Arial" w:cs="Times New Roman"/>
        </w:rPr>
        <w:fldChar w:fldCharType="end"/>
      </w:r>
      <w:r w:rsidRPr="00C2717B">
        <w:rPr>
          <w:rFonts w:eastAsia="Arial" w:cs="Times New Roman"/>
        </w:rPr>
        <w:t xml:space="preserve">. </w:t>
      </w:r>
    </w:p>
    <w:p w:rsidR="00245727" w:rsidRDefault="00245727" w:rsidP="00245727">
      <w:pPr>
        <w:rPr>
          <w:rFonts w:eastAsia="Arial" w:cs="Times New Roman"/>
        </w:rPr>
      </w:pPr>
    </w:p>
    <w:p w:rsidR="00245727" w:rsidRPr="007D249F" w:rsidRDefault="00245727" w:rsidP="00245727">
      <w:pPr>
        <w:rPr>
          <w:rFonts w:eastAsia="Arial" w:cs="Times New Roman"/>
        </w:rPr>
      </w:pPr>
      <w:r>
        <w:rPr>
          <w:rFonts w:eastAsia="Arial" w:cs="Times New Roman"/>
        </w:rPr>
        <w:t>BACHGROUND: Before continuing, allow me to describe the crucial differences between mood, emotion, and subjective wellbeing (SWB). Mood refers to the genetically-determined set-point for its managed variable;</w:t>
      </w:r>
      <w:r w:rsidR="00A17D37">
        <w:rPr>
          <w:rFonts w:eastAsia="Arial" w:cs="Times New Roman"/>
        </w:rPr>
        <w:t xml:space="preserve"> Homeostatically Protected M</w:t>
      </w:r>
      <w:r>
        <w:rPr>
          <w:rFonts w:eastAsia="Arial" w:cs="Times New Roman"/>
        </w:rPr>
        <w:t xml:space="preserve">ood. HPMood is a composite variable of three affects: Happy, Content, and Alert (see Cummins, 2017 – Attached). HPMood has an average population level of 80 points (on a 0-100 point scale) and does not change. Emotion comprises the affective states induced by the </w:t>
      </w:r>
      <w:proofErr w:type="spellStart"/>
      <w:r>
        <w:rPr>
          <w:rFonts w:eastAsia="Arial" w:cs="Times New Roman"/>
        </w:rPr>
        <w:t>percepts</w:t>
      </w:r>
      <w:proofErr w:type="spellEnd"/>
      <w:r>
        <w:rPr>
          <w:rFonts w:eastAsia="Arial" w:cs="Times New Roman"/>
        </w:rPr>
        <w:t xml:space="preserve"> of external events or internally generated thoughts. SWB is the sum of HPMood and emotion as represented, at any moment, in our single stream of consciousness. Emotions challenge homeostatic control by taking our experienced level of affect (HPMood + emotion) away from set-point.</w:t>
      </w:r>
    </w:p>
    <w:p w:rsidR="00245727" w:rsidRPr="007A5CDF" w:rsidRDefault="00245727" w:rsidP="00245727">
      <w:pPr>
        <w:rPr>
          <w:rFonts w:eastAsia="Arial" w:cs="Times New Roman"/>
        </w:rPr>
      </w:pPr>
    </w:p>
    <w:p w:rsidR="00245727" w:rsidRDefault="00245727" w:rsidP="00245727">
      <w:pPr>
        <w:rPr>
          <w:rFonts w:eastAsia="Arial" w:cs="Times New Roman"/>
        </w:rPr>
      </w:pPr>
      <w:r>
        <w:rPr>
          <w:rFonts w:eastAsia="Arial" w:cs="Times New Roman"/>
        </w:rPr>
        <w:t>To continue ------</w:t>
      </w:r>
    </w:p>
    <w:p w:rsidR="00245727" w:rsidRDefault="00245727" w:rsidP="00245727">
      <w:pPr>
        <w:rPr>
          <w:rFonts w:eastAsia="Arial" w:cs="Times New Roman"/>
        </w:rPr>
      </w:pPr>
    </w:p>
    <w:p w:rsidR="00245727" w:rsidRPr="003F640D" w:rsidRDefault="00245727" w:rsidP="00245727">
      <w:pPr>
        <w:rPr>
          <w:rFonts w:asciiTheme="minorHAnsi" w:eastAsia="Arial" w:hAnsiTheme="minorHAnsi" w:cstheme="minorHAnsi"/>
          <w:u w:val="single"/>
        </w:rPr>
      </w:pPr>
      <w:r w:rsidRPr="003F640D">
        <w:rPr>
          <w:rFonts w:asciiTheme="minorHAnsi" w:eastAsia="Arial" w:hAnsiTheme="minorHAnsi" w:cstheme="minorHAnsi"/>
          <w:u w:val="single"/>
        </w:rPr>
        <w:t>(2) Can you keep your mood level permanently higher?</w:t>
      </w:r>
    </w:p>
    <w:p w:rsidR="00245727" w:rsidRDefault="00245727" w:rsidP="00245727">
      <w:pPr>
        <w:rPr>
          <w:rFonts w:eastAsia="Arial" w:cs="Times New Roman"/>
        </w:rPr>
      </w:pPr>
      <w:r>
        <w:rPr>
          <w:rFonts w:eastAsia="Arial" w:cs="Times New Roman"/>
        </w:rPr>
        <w:t xml:space="preserve">There are two ways this could happen: One is </w:t>
      </w:r>
      <w:proofErr w:type="spellStart"/>
      <w:r>
        <w:rPr>
          <w:rFonts w:eastAsia="Arial" w:cs="Times New Roman"/>
        </w:rPr>
        <w:t>allostasis</w:t>
      </w:r>
      <w:proofErr w:type="spellEnd"/>
      <w:r>
        <w:rPr>
          <w:rFonts w:eastAsia="Arial" w:cs="Times New Roman"/>
        </w:rPr>
        <w:t>, as described, the other occurs in people persistently operating below their set-point. To provide the rationale:</w:t>
      </w:r>
    </w:p>
    <w:p w:rsidR="00245727" w:rsidRDefault="00245727" w:rsidP="00245727">
      <w:pPr>
        <w:rPr>
          <w:rFonts w:eastAsia="Arial" w:cs="Times New Roman"/>
        </w:rPr>
      </w:pPr>
    </w:p>
    <w:p w:rsidR="00245727" w:rsidRPr="0042184D" w:rsidRDefault="00245727" w:rsidP="00245727">
      <w:pPr>
        <w:pStyle w:val="ListParagraph"/>
        <w:numPr>
          <w:ilvl w:val="0"/>
          <w:numId w:val="11"/>
        </w:numPr>
        <w:rPr>
          <w:rFonts w:eastAsia="Arial" w:cs="Times New Roman"/>
        </w:rPr>
      </w:pPr>
      <w:r>
        <w:rPr>
          <w:rFonts w:eastAsia="Calibri" w:cs="Times New Roman"/>
          <w:lang w:val="en-US"/>
        </w:rPr>
        <w:t xml:space="preserve">If someone is operating at their set-point, then this is the </w:t>
      </w:r>
      <w:r w:rsidRPr="00800BDC">
        <w:rPr>
          <w:rFonts w:eastAsia="Calibri" w:cs="Times New Roman"/>
          <w:lang w:val="en-US"/>
        </w:rPr>
        <w:t>most energy-neutral c</w:t>
      </w:r>
      <w:r>
        <w:rPr>
          <w:rFonts w:eastAsia="Calibri" w:cs="Times New Roman"/>
          <w:lang w:val="en-US"/>
        </w:rPr>
        <w:t>ondition for homeostasis</w:t>
      </w:r>
      <w:r w:rsidRPr="00800BDC">
        <w:rPr>
          <w:rFonts w:eastAsia="Calibri" w:cs="Times New Roman"/>
          <w:lang w:val="en-US"/>
        </w:rPr>
        <w:t xml:space="preserve"> to manage </w:t>
      </w:r>
      <w:r>
        <w:rPr>
          <w:rFonts w:eastAsia="Calibri" w:cs="Times New Roman"/>
          <w:lang w:val="en-US"/>
        </w:rPr>
        <w:t xml:space="preserve">the level of SWB. If </w:t>
      </w:r>
      <w:proofErr w:type="spellStart"/>
      <w:r>
        <w:rPr>
          <w:rFonts w:eastAsia="Calibri" w:cs="Times New Roman"/>
          <w:lang w:val="en-US"/>
        </w:rPr>
        <w:t>allostasis</w:t>
      </w:r>
      <w:proofErr w:type="spellEnd"/>
      <w:r>
        <w:rPr>
          <w:rFonts w:eastAsia="Calibri" w:cs="Times New Roman"/>
          <w:lang w:val="en-US"/>
        </w:rPr>
        <w:t xml:space="preserve"> requires a persistently increased level of SWB, there is both a short-term advantage, and</w:t>
      </w:r>
      <w:r w:rsidRPr="00800BDC">
        <w:rPr>
          <w:rFonts w:eastAsia="Calibri" w:cs="Times New Roman"/>
          <w:lang w:val="en-US"/>
        </w:rPr>
        <w:t xml:space="preserve"> there is a cost. The </w:t>
      </w:r>
      <w:r>
        <w:rPr>
          <w:rFonts w:eastAsia="Calibri" w:cs="Times New Roman"/>
          <w:lang w:val="en-US"/>
        </w:rPr>
        <w:t xml:space="preserve">advantage is that they will be feel more strongly positive than their set-point. The disadvantage is the required increase in </w:t>
      </w:r>
      <w:r w:rsidRPr="00800BDC">
        <w:rPr>
          <w:rFonts w:eastAsia="Calibri" w:cs="Times New Roman"/>
          <w:lang w:val="en-US"/>
        </w:rPr>
        <w:t>Allostatic Load</w:t>
      </w:r>
      <w:r>
        <w:rPr>
          <w:rFonts w:eastAsia="Calibri" w:cs="Times New Roman"/>
          <w:lang w:val="en-US"/>
        </w:rPr>
        <w:t xml:space="preserve"> </w:t>
      </w:r>
      <w:r w:rsidRPr="00800BDC">
        <w:rPr>
          <w:rFonts w:eastAsia="Calibri" w:cs="Times New Roman"/>
          <w:lang w:val="en-US"/>
        </w:rPr>
        <w:fldChar w:fldCharType="begin">
          <w:fldData xml:space="preserve">PEVuZE5vdGU+PENpdGU+PEF1dGhvcj5CaWVuZXJ0b3bDoS1WYcWha8WvPC9BdXRob3I+PFllYXI+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==
</w:fldData>
        </w:fldChar>
      </w:r>
      <w:r w:rsidRPr="00800BDC">
        <w:rPr>
          <w:rFonts w:eastAsia="Calibri" w:cs="Times New Roman"/>
          <w:lang w:val="en-US"/>
        </w:rPr>
        <w:instrText xml:space="preserve"> ADDIN EN.CITE </w:instrText>
      </w:r>
      <w:r w:rsidRPr="00800BDC">
        <w:rPr>
          <w:rFonts w:eastAsia="Calibri" w:cs="Times New Roman"/>
          <w:lang w:val="en-US"/>
        </w:rPr>
        <w:fldChar w:fldCharType="begin">
          <w:fldData xml:space="preserve">PEVuZE5vdGU+PENpdGU+PEF1dGhvcj5CaWVuZXJ0b3bDoS1WYcWha8WvPC9BdXRob3I+PFllYXI+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==
</w:fldData>
        </w:fldChar>
      </w:r>
      <w:r w:rsidRPr="00800BDC">
        <w:rPr>
          <w:rFonts w:eastAsia="Calibri" w:cs="Times New Roman"/>
          <w:lang w:val="en-US"/>
        </w:rPr>
        <w:instrText xml:space="preserve"> ADDIN EN.CITE.DATA </w:instrText>
      </w:r>
      <w:r w:rsidRPr="00800BDC">
        <w:rPr>
          <w:rFonts w:eastAsia="Calibri" w:cs="Times New Roman"/>
          <w:lang w:val="en-US"/>
        </w:rPr>
      </w:r>
      <w:r w:rsidRPr="00800BDC">
        <w:rPr>
          <w:rFonts w:eastAsia="Calibri" w:cs="Times New Roman"/>
          <w:lang w:val="en-US"/>
        </w:rPr>
        <w:fldChar w:fldCharType="end"/>
      </w:r>
      <w:r w:rsidRPr="00800BDC">
        <w:rPr>
          <w:rFonts w:eastAsia="Calibri" w:cs="Times New Roman"/>
          <w:lang w:val="en-US"/>
        </w:rPr>
      </w:r>
      <w:r w:rsidRPr="00800BDC">
        <w:rPr>
          <w:rFonts w:eastAsia="Calibri" w:cs="Times New Roman"/>
          <w:lang w:val="en-US"/>
        </w:rPr>
        <w:fldChar w:fldCharType="separate"/>
      </w:r>
      <w:r w:rsidRPr="00800BDC">
        <w:rPr>
          <w:rFonts w:eastAsia="Calibri" w:cs="Times New Roman"/>
          <w:noProof/>
          <w:lang w:val="en-US"/>
        </w:rPr>
        <w:t>(for a physiological description see Bienertová-Vašků, Zlámal, Nečesánek, Konečný, &amp; Vasku, 2016)</w:t>
      </w:r>
      <w:r w:rsidRPr="00800BDC">
        <w:rPr>
          <w:rFonts w:eastAsia="Calibri" w:cs="Times New Roman"/>
          <w:lang w:val="en-US"/>
        </w:rPr>
        <w:fldChar w:fldCharType="end"/>
      </w:r>
      <w:r>
        <w:rPr>
          <w:rFonts w:eastAsia="Calibri" w:cs="Times New Roman"/>
          <w:lang w:val="en-US"/>
        </w:rPr>
        <w:t>. In physiological terms, these authors describe the ‘ware-and tear costs’ of such load. The psychological equivalent is uncertain but would certainly involve an additional energy expenditure.</w:t>
      </w:r>
    </w:p>
    <w:p w:rsidR="00245727" w:rsidRPr="0042184D" w:rsidRDefault="00245727" w:rsidP="00245727">
      <w:pPr>
        <w:pStyle w:val="ListParagraph"/>
        <w:rPr>
          <w:rFonts w:eastAsia="Arial" w:cs="Times New Roman"/>
        </w:rPr>
      </w:pPr>
    </w:p>
    <w:p w:rsidR="00245727" w:rsidRPr="0042184D" w:rsidRDefault="00245727" w:rsidP="00245727">
      <w:pPr>
        <w:pStyle w:val="ListParagraph"/>
        <w:numPr>
          <w:ilvl w:val="0"/>
          <w:numId w:val="11"/>
        </w:numPr>
        <w:rPr>
          <w:rFonts w:eastAsia="Arial" w:cs="Times New Roman"/>
        </w:rPr>
      </w:pPr>
      <w:r>
        <w:rPr>
          <w:rFonts w:eastAsia="Calibri" w:cs="Times New Roman"/>
          <w:lang w:val="en-US"/>
        </w:rPr>
        <w:t xml:space="preserve">If someone is operating at a level of SWB that is below their set-point, then none of the above applies. The homeostatic machinery will be attempting a return to set-point against the affective challenge that is causing low SWB. Thus, almost any relevant intervention, which supplies some of the missing resources, </w:t>
      </w:r>
      <w:r>
        <w:rPr>
          <w:rFonts w:eastAsia="Calibri" w:cs="Times New Roman"/>
          <w:i/>
          <w:lang w:val="en-US"/>
        </w:rPr>
        <w:t>will</w:t>
      </w:r>
      <w:r w:rsidRPr="002A1BFF">
        <w:rPr>
          <w:rFonts w:eastAsia="Calibri" w:cs="Times New Roman"/>
          <w:i/>
          <w:lang w:val="en-US"/>
        </w:rPr>
        <w:t xml:space="preserve"> act in sympathy with homeostasis</w:t>
      </w:r>
      <w:r>
        <w:rPr>
          <w:rFonts w:eastAsia="Calibri" w:cs="Times New Roman"/>
          <w:lang w:val="en-US"/>
        </w:rPr>
        <w:t xml:space="preserve"> to lift the SWB level. An example of this is provided by </w:t>
      </w:r>
      <w:r>
        <w:rPr>
          <w:rFonts w:eastAsia="Calibri" w:cs="Times New Roman"/>
          <w:lang w:val="en-US"/>
        </w:rPr>
        <w:fldChar w:fldCharType="begin"/>
      </w:r>
      <w:r w:rsidR="00DC631F">
        <w:rPr>
          <w:rFonts w:eastAsia="Calibri" w:cs="Times New Roman"/>
          <w:lang w:val="en-US"/>
        </w:rPr>
        <w:instrText xml:space="preserve"> ADDIN EN.CITE &lt;EndNote&gt;&lt;Cite&gt;&lt;Author&gt;Tomyn&lt;/Author&gt;&lt;Year&gt;2015&lt;/Year&gt;&lt;RecNum&gt;983&lt;/RecNum&gt;&lt;DisplayText&gt;(Tomyn et al., 2015)&lt;/DisplayText&gt;&lt;record&gt;&lt;rec-number&gt;983&lt;/rec-number&gt;&lt;foreign-keys&gt;&lt;key app="EN" db-id="z2xarpe9cfrvp4ezdxk5ddx9dsrzr05f22sa" timestamp="1374456864"&gt;983&lt;/key&gt;&lt;/foreign-keys&gt;&lt;ref-type name="Journal Article"&gt;17&lt;/ref-type&gt;&lt;contributors&gt;&lt;authors&gt;&lt;author&gt;Tomyn, A. J.&lt;/author&gt;&lt;author&gt;Weinberg, M. K.&lt;/author&gt;&lt;author&gt;Cummins, R. A.&lt;/author&gt;&lt;/authors&gt;&lt;/contributors&gt;&lt;titles&gt;&lt;title&gt;Intervention efficacy among ‘at risk’ adolescents: A test of Subjective Wellbeing Homeostasis Theory&lt;/title&gt;&lt;secondary-title&gt;Social Indicators Research&lt;/secondary-title&gt;&lt;/titles&gt;&lt;periodical&gt;&lt;full-title&gt;Social Indicators Research&lt;/full-title&gt;&lt;/periodical&gt;&lt;pages&gt;883-895&lt;/pages&gt;&lt;volume&gt;120&lt;/volume&gt;&lt;number&gt;3&lt;/number&gt;&lt;dates&gt;&lt;year&gt;2015&lt;/year&gt;&lt;/dates&gt;&lt;urls&gt;&lt;/urls&gt;&lt;electronic-resource-num&gt;10.1007/s11205-014-0619-5&lt;/electronic-resource-num&gt;&lt;/record&gt;&lt;/Cite&gt;&lt;/EndNote&gt;</w:instrText>
      </w:r>
      <w:r>
        <w:rPr>
          <w:rFonts w:eastAsia="Calibri" w:cs="Times New Roman"/>
          <w:lang w:val="en-US"/>
        </w:rPr>
        <w:fldChar w:fldCharType="separate"/>
      </w:r>
      <w:r w:rsidR="00DC631F">
        <w:rPr>
          <w:rFonts w:eastAsia="Calibri" w:cs="Times New Roman"/>
          <w:noProof/>
          <w:lang w:val="en-US"/>
        </w:rPr>
        <w:t>(Tomyn et al., 2015)</w:t>
      </w:r>
      <w:r>
        <w:rPr>
          <w:rFonts w:eastAsia="Calibri" w:cs="Times New Roman"/>
          <w:lang w:val="en-US"/>
        </w:rPr>
        <w:fldChar w:fldCharType="end"/>
      </w:r>
      <w:r>
        <w:rPr>
          <w:rFonts w:eastAsia="Calibri" w:cs="Times New Roman"/>
          <w:lang w:val="en-US"/>
        </w:rPr>
        <w:t>.</w:t>
      </w:r>
    </w:p>
    <w:p w:rsidR="00245727" w:rsidRPr="00A718B3" w:rsidRDefault="00245727" w:rsidP="00245727">
      <w:pPr>
        <w:pStyle w:val="ListParagraph"/>
        <w:rPr>
          <w:rFonts w:eastAsia="Arial" w:cs="Times New Roman"/>
        </w:rPr>
      </w:pPr>
    </w:p>
    <w:p w:rsidR="00245727" w:rsidRDefault="00245727" w:rsidP="00245727">
      <w:pPr>
        <w:rPr>
          <w:rFonts w:eastAsia="Arial" w:cs="Times New Roman"/>
        </w:rPr>
      </w:pPr>
    </w:p>
    <w:p w:rsidR="00245727" w:rsidRPr="003F640D" w:rsidRDefault="00245727" w:rsidP="00245727">
      <w:pPr>
        <w:rPr>
          <w:rFonts w:asciiTheme="minorHAnsi" w:eastAsia="Arial" w:hAnsiTheme="minorHAnsi" w:cstheme="minorHAnsi"/>
          <w:u w:val="single"/>
        </w:rPr>
      </w:pPr>
      <w:r w:rsidRPr="003F640D">
        <w:rPr>
          <w:rFonts w:asciiTheme="minorHAnsi" w:eastAsia="Arial" w:hAnsiTheme="minorHAnsi" w:cstheme="minorHAnsi"/>
          <w:u w:val="single"/>
        </w:rPr>
        <w:t>(3)  Can this be done by purposive action?</w:t>
      </w:r>
    </w:p>
    <w:p w:rsidR="00245727" w:rsidRDefault="00245727" w:rsidP="00245727">
      <w:pPr>
        <w:rPr>
          <w:rFonts w:eastAsia="Arial" w:cs="Times New Roman"/>
        </w:rPr>
      </w:pPr>
      <w:r>
        <w:rPr>
          <w:rFonts w:eastAsia="Arial" w:cs="Times New Roman"/>
        </w:rPr>
        <w:t>There are two possibilities:</w:t>
      </w:r>
    </w:p>
    <w:p w:rsidR="00245727" w:rsidRDefault="00245727" w:rsidP="00245727">
      <w:pPr>
        <w:pStyle w:val="ListParagraph"/>
        <w:numPr>
          <w:ilvl w:val="0"/>
          <w:numId w:val="12"/>
        </w:numPr>
        <w:rPr>
          <w:rFonts w:eastAsia="Arial" w:cs="Times New Roman"/>
        </w:rPr>
      </w:pPr>
      <w:r>
        <w:rPr>
          <w:rFonts w:eastAsia="Arial" w:cs="Times New Roman"/>
        </w:rPr>
        <w:t xml:space="preserve">If the person’s baseline level of SWB is </w:t>
      </w:r>
      <w:r w:rsidRPr="006B7741">
        <w:rPr>
          <w:rFonts w:eastAsia="Arial" w:cs="Times New Roman"/>
          <w:i/>
        </w:rPr>
        <w:t>at or above</w:t>
      </w:r>
      <w:r>
        <w:rPr>
          <w:rFonts w:eastAsia="Arial" w:cs="Times New Roman"/>
        </w:rPr>
        <w:t xml:space="preserve"> </w:t>
      </w:r>
      <w:proofErr w:type="spellStart"/>
      <w:r>
        <w:rPr>
          <w:rFonts w:eastAsia="Arial" w:cs="Times New Roman"/>
        </w:rPr>
        <w:t>setpoint</w:t>
      </w:r>
      <w:proofErr w:type="spellEnd"/>
      <w:r>
        <w:rPr>
          <w:rFonts w:eastAsia="Arial" w:cs="Times New Roman"/>
        </w:rPr>
        <w:t xml:space="preserve">, </w:t>
      </w:r>
      <w:r w:rsidRPr="00BA627A">
        <w:rPr>
          <w:rFonts w:eastAsia="Arial" w:cs="Times New Roman"/>
          <w:i/>
        </w:rPr>
        <w:t>no</w:t>
      </w:r>
      <w:r>
        <w:rPr>
          <w:rFonts w:eastAsia="Arial" w:cs="Times New Roman"/>
        </w:rPr>
        <w:t xml:space="preserve"> introduction of additional homeostatic resources, or other forms of intervention, will allow SWB to chronically increase. The attempt to increase SWB will be counteracted by homeostasis attempting to drag it back.</w:t>
      </w:r>
    </w:p>
    <w:p w:rsidR="00245727" w:rsidRDefault="00245727" w:rsidP="00245727">
      <w:pPr>
        <w:pStyle w:val="ListParagraph"/>
        <w:numPr>
          <w:ilvl w:val="0"/>
          <w:numId w:val="12"/>
        </w:numPr>
        <w:rPr>
          <w:rFonts w:eastAsia="Arial" w:cs="Times New Roman"/>
        </w:rPr>
      </w:pPr>
      <w:r w:rsidRPr="006B7741">
        <w:rPr>
          <w:rFonts w:eastAsia="Arial" w:cs="Times New Roman"/>
        </w:rPr>
        <w:t xml:space="preserve">If the person’s baseline level of SWB is </w:t>
      </w:r>
      <w:r>
        <w:rPr>
          <w:rFonts w:eastAsia="Arial" w:cs="Times New Roman"/>
          <w:i/>
        </w:rPr>
        <w:t>below</w:t>
      </w:r>
      <w:r w:rsidRPr="006B7741">
        <w:rPr>
          <w:rFonts w:eastAsia="Arial" w:cs="Times New Roman"/>
        </w:rPr>
        <w:t xml:space="preserve"> </w:t>
      </w:r>
      <w:proofErr w:type="spellStart"/>
      <w:r w:rsidRPr="006B7741">
        <w:rPr>
          <w:rFonts w:eastAsia="Arial" w:cs="Times New Roman"/>
        </w:rPr>
        <w:t>setpoint</w:t>
      </w:r>
      <w:proofErr w:type="spellEnd"/>
      <w:r w:rsidRPr="006B7741">
        <w:rPr>
          <w:rFonts w:eastAsia="Arial" w:cs="Times New Roman"/>
        </w:rPr>
        <w:t>,</w:t>
      </w:r>
      <w:r>
        <w:rPr>
          <w:rFonts w:eastAsia="Arial" w:cs="Times New Roman"/>
        </w:rPr>
        <w:t xml:space="preserve"> </w:t>
      </w:r>
      <w:r w:rsidRPr="006B7741">
        <w:rPr>
          <w:rFonts w:eastAsia="Arial" w:cs="Times New Roman"/>
        </w:rPr>
        <w:t xml:space="preserve">the </w:t>
      </w:r>
      <w:r>
        <w:rPr>
          <w:rFonts w:eastAsia="Arial" w:cs="Times New Roman"/>
        </w:rPr>
        <w:t>introduction of additional homeostatic resources, or other forms of intervention,</w:t>
      </w:r>
      <w:r w:rsidRPr="006B7741">
        <w:rPr>
          <w:rFonts w:eastAsia="Arial" w:cs="Times New Roman"/>
        </w:rPr>
        <w:t xml:space="preserve"> </w:t>
      </w:r>
      <w:r>
        <w:rPr>
          <w:rFonts w:eastAsia="Arial" w:cs="Times New Roman"/>
        </w:rPr>
        <w:t xml:space="preserve">will </w:t>
      </w:r>
      <w:r w:rsidRPr="006B7741">
        <w:rPr>
          <w:rFonts w:eastAsia="Arial" w:cs="Times New Roman"/>
          <w:i/>
        </w:rPr>
        <w:t xml:space="preserve">potentially </w:t>
      </w:r>
      <w:r>
        <w:rPr>
          <w:rFonts w:eastAsia="Arial" w:cs="Times New Roman"/>
        </w:rPr>
        <w:t xml:space="preserve">allow SWB to chronically increase </w:t>
      </w:r>
      <w:r w:rsidRPr="00AC2000">
        <w:rPr>
          <w:rFonts w:eastAsia="Arial" w:cs="Times New Roman"/>
          <w:i/>
        </w:rPr>
        <w:t xml:space="preserve">up to </w:t>
      </w:r>
      <w:proofErr w:type="spellStart"/>
      <w:r w:rsidRPr="00AC2000">
        <w:rPr>
          <w:rFonts w:eastAsia="Arial" w:cs="Times New Roman"/>
          <w:i/>
        </w:rPr>
        <w:t>setpoint</w:t>
      </w:r>
      <w:proofErr w:type="spellEnd"/>
      <w:r>
        <w:rPr>
          <w:rFonts w:eastAsia="Arial" w:cs="Times New Roman"/>
        </w:rPr>
        <w:t>. Whether such an increase is a short-term or long-</w:t>
      </w:r>
      <w:r>
        <w:rPr>
          <w:rFonts w:eastAsia="Arial" w:cs="Times New Roman"/>
        </w:rPr>
        <w:lastRenderedPageBreak/>
        <w:t>term increase, depends on the induced level of homeostatic support vs. the level of chronic stress (challenge).</w:t>
      </w:r>
    </w:p>
    <w:p w:rsidR="00245727" w:rsidRDefault="00245727" w:rsidP="00245727">
      <w:pPr>
        <w:rPr>
          <w:rFonts w:eastAsia="Arial" w:cs="Times New Roman"/>
        </w:rPr>
      </w:pPr>
    </w:p>
    <w:p w:rsidR="00245727" w:rsidRDefault="00245727" w:rsidP="00245727">
      <w:pPr>
        <w:rPr>
          <w:rFonts w:eastAsia="Arial" w:cs="Times New Roman"/>
          <w:b/>
        </w:rPr>
      </w:pPr>
    </w:p>
    <w:p w:rsidR="00245727" w:rsidRDefault="00245727" w:rsidP="00245727">
      <w:pPr>
        <w:rPr>
          <w:rFonts w:eastAsia="Arial" w:cs="Times New Roman"/>
          <w:b/>
        </w:rPr>
      </w:pPr>
      <w:r w:rsidRPr="001722DE">
        <w:rPr>
          <w:rFonts w:eastAsia="Arial" w:cs="Times New Roman"/>
          <w:b/>
        </w:rPr>
        <w:t>Mark Stokes &lt;mark.stokes@deakin.edu.au&gt;</w:t>
      </w:r>
    </w:p>
    <w:p w:rsidR="00245727" w:rsidRPr="00592393" w:rsidRDefault="00245727" w:rsidP="00245727">
      <w:pPr>
        <w:rPr>
          <w:rFonts w:eastAsia="Arial" w:cs="Times New Roman"/>
          <w:b/>
          <w:i/>
        </w:rPr>
      </w:pPr>
      <w:r w:rsidRPr="003F640D">
        <w:rPr>
          <w:rFonts w:asciiTheme="minorHAnsi" w:hAnsiTheme="minorHAnsi" w:cstheme="minorHAnsi"/>
          <w:i/>
          <w:color w:val="000000"/>
        </w:rPr>
        <w:t>“I largely agree with your analysis. However, I would point out that any stress raises cortisol, hence so will homeostatic activation.  As cortisol rises, there are positive and negative processes.  Among the negative are the accumulation of fatty deposits to the waistline, increased appetite and craving for high fat food (going to the aforementioned waistline), increased immune activation (which actually activate some of the recognised auto-immune conditions with prolonged exposure), increase in lipid accumulation to arteries, and elevated levels of many cancers.  Thus, even with productive and positive homeostatic activation, we should expect to pay the piper somewhere</w:t>
      </w:r>
      <w:r w:rsidRPr="00592393">
        <w:rPr>
          <w:rFonts w:cs="Times New Roman"/>
          <w:i/>
          <w:color w:val="000000"/>
        </w:rPr>
        <w:t>.”</w:t>
      </w:r>
    </w:p>
    <w:p w:rsidR="00245727" w:rsidRDefault="00245727" w:rsidP="00245727">
      <w:pPr>
        <w:rPr>
          <w:rFonts w:eastAsia="Arial" w:cs="Times New Roman"/>
          <w:b/>
        </w:rPr>
      </w:pPr>
    </w:p>
    <w:p w:rsidR="00245727" w:rsidRPr="008B2E55" w:rsidRDefault="00245727" w:rsidP="00245727">
      <w:pPr>
        <w:rPr>
          <w:rFonts w:eastAsia="Arial" w:cs="Times New Roman"/>
          <w:i/>
        </w:rPr>
      </w:pPr>
      <w:r w:rsidRPr="008B2E55">
        <w:rPr>
          <w:rFonts w:eastAsia="Arial" w:cs="Times New Roman"/>
          <w:i/>
        </w:rPr>
        <w:t>Cummins responds:</w:t>
      </w:r>
    </w:p>
    <w:p w:rsidR="00245727" w:rsidRDefault="00245727" w:rsidP="00245727">
      <w:r>
        <w:t xml:space="preserve">I certainly agree that the essence of the stress response, and homeostasis activation, concerns the associated involvement of many other psychological and physiological indicators. This observation was central to Cannon’s insight </w:t>
      </w:r>
      <w:r w:rsidRPr="007C05A1">
        <w:t xml:space="preserve">"The regulating system which determines a homeostatic state may comprise a number of cooperating factors brought into action at the same time or successively" </w:t>
      </w:r>
      <w:r>
        <w:fldChar w:fldCharType="begin"/>
      </w:r>
      <w:r>
        <w:instrText xml:space="preserve"> ADDIN EN.CITE &lt;EndNote&gt;&lt;Cite&gt;&lt;Author&gt;Cannon&lt;/Author&gt;&lt;Year&gt;1932&lt;/Year&gt;&lt;RecNum&gt;67&lt;/RecNum&gt;&lt;Suffix&gt;`, p.300&lt;/Suffix&gt;&lt;DisplayText&gt;(Cannon, 1932, p.300)&lt;/DisplayText&gt;&lt;record&gt;&lt;rec-number&gt;67&lt;/rec-number&gt;&lt;foreign-keys&gt;&lt;key app="EN" db-id="z2xarpe9cfrvp4ezdxk5ddx9dsrzr05f22sa" timestamp="1343947645"&gt;67&lt;/key&gt;&lt;/foreign-keys&gt;&lt;ref-type name="Book"&gt;6&lt;/ref-type&gt;&lt;contributors&gt;&lt;authors&gt;&lt;author&gt;Cannon, W. B.&lt;/author&gt;&lt;/authors&gt;&lt;/contributors&gt;&lt;titles&gt;&lt;title&gt;The wisdom of the body&lt;/title&gt;&lt;/titles&gt;&lt;dates&gt;&lt;year&gt;1932&lt;/year&gt;&lt;/dates&gt;&lt;pub-location&gt;New York NY&lt;/pub-location&gt;&lt;publisher&gt;Norton&lt;/publisher&gt;&lt;urls&gt;&lt;/urls&gt;&lt;/record&gt;&lt;/Cite&gt;&lt;/EndNote&gt;</w:instrText>
      </w:r>
      <w:r>
        <w:fldChar w:fldCharType="separate"/>
      </w:r>
      <w:r>
        <w:rPr>
          <w:noProof/>
        </w:rPr>
        <w:t>(Cannon, 1932, p.300)</w:t>
      </w:r>
      <w:r>
        <w:fldChar w:fldCharType="end"/>
      </w:r>
      <w:r>
        <w:t xml:space="preserve">. I also agree that such management, on a chronic basis, is a double-edged sword, which is one of the propositions of </w:t>
      </w:r>
      <w:proofErr w:type="spellStart"/>
      <w:r>
        <w:t>allostasis</w:t>
      </w:r>
      <w:proofErr w:type="spellEnd"/>
      <w:r>
        <w:t xml:space="preserve">. That the maintenance of a managed variable above, or below its set-point, is adaptive in the short-term but causes damage to the managed systems in the long term.  Finally, I also am taken with cortisol as a most interesting hormone for homeostasis scholars. In a systematic review of 64 papers, </w:t>
      </w:r>
      <w:r>
        <w:fldChar w:fldCharType="begin"/>
      </w:r>
      <w:r>
        <w:instrText xml:space="preserve"> ADDIN EN.CITE &lt;EndNote&gt;&lt;Cite AuthorYear="1"&gt;&lt;Author&gt;Chida&lt;/Author&gt;&lt;Year&gt;2009&lt;/Year&gt;&lt;RecNum&gt;3884&lt;/RecNum&gt;&lt;DisplayText&gt;Chida and Steptoe (2009)&lt;/DisplayText&gt;&lt;record&gt;&lt;rec-number&gt;3884&lt;/rec-number&gt;&lt;foreign-keys&gt;&lt;key app="EN" db-id="z2xarpe9cfrvp4ezdxk5ddx9dsrzr05f22sa" timestamp="1562746995"&gt;3884&lt;/key&gt;&lt;/foreign-keys&gt;&lt;ref-type name="Journal Article"&gt;17&lt;/ref-type&gt;&lt;contributors&gt;&lt;authors&gt;&lt;author&gt;Chida, Y.&lt;/author&gt;&lt;author&gt;Steptoe, Andrew&lt;/author&gt;&lt;/authors&gt;&lt;/contributors&gt;&lt;titles&gt;&lt;title&gt;Cortisol awakening response and psychosocial factors: a systematic review and meta-analysis&lt;/title&gt;&lt;secondary-title&gt;Biological psychology&lt;/secondary-title&gt;&lt;/titles&gt;&lt;periodical&gt;&lt;full-title&gt;Biological psychology&lt;/full-title&gt;&lt;/periodical&gt;&lt;pages&gt;265-278&lt;/pages&gt;&lt;volume&gt;80&lt;/volume&gt;&lt;number&gt;3&lt;/number&gt;&lt;dates&gt;&lt;year&gt;2009&lt;/year&gt;&lt;/dates&gt;&lt;isbn&gt;0301-0511&lt;/isbn&gt;&lt;urls&gt;&lt;/urls&gt;&lt;/record&gt;&lt;/Cite&gt;&lt;/EndNote&gt;</w:instrText>
      </w:r>
      <w:r>
        <w:fldChar w:fldCharType="separate"/>
      </w:r>
      <w:r>
        <w:rPr>
          <w:noProof/>
        </w:rPr>
        <w:t>Chida and Steptoe (2009)</w:t>
      </w:r>
      <w:r>
        <w:fldChar w:fldCharType="end"/>
      </w:r>
      <w:r>
        <w:t xml:space="preserve"> found clear evidence of associations between the rise in cortisol after waking (cortisol awakening response) and measures of daily stress, but a less certain relationship with measures of positive subjective wellbeing. This latter result, had the authors known, is consistent with the homeostatic defence of subjective wellbeing.</w:t>
      </w:r>
    </w:p>
    <w:p w:rsidR="00245727" w:rsidRDefault="00245727" w:rsidP="00245727">
      <w:pPr>
        <w:rPr>
          <w:rFonts w:eastAsia="Arial" w:cs="Times New Roman"/>
          <w:b/>
        </w:rPr>
      </w:pPr>
    </w:p>
    <w:p w:rsidR="00245727" w:rsidRPr="00F26A8D" w:rsidRDefault="00245727" w:rsidP="00245727">
      <w:pPr>
        <w:rPr>
          <w:rFonts w:eastAsia="Calibri" w:cs="Times New Roman"/>
          <w:b/>
        </w:rPr>
      </w:pPr>
      <w:r w:rsidRPr="00F26A8D">
        <w:rPr>
          <w:rFonts w:eastAsia="Calibri" w:cs="Times New Roman"/>
          <w:b/>
        </w:rPr>
        <w:t>Juanita Wood &lt;juanita12@bigpond.com&gt;</w:t>
      </w:r>
    </w:p>
    <w:p w:rsidR="00245727" w:rsidRPr="008726D4" w:rsidRDefault="00245727" w:rsidP="00245727">
      <w:pPr>
        <w:rPr>
          <w:rFonts w:eastAsia="Calibri" w:cs="Times New Roman"/>
        </w:rPr>
      </w:pPr>
      <w:r w:rsidRPr="003F640D">
        <w:rPr>
          <w:rFonts w:asciiTheme="minorHAnsi" w:eastAsia="Calibri" w:hAnsiTheme="minorHAnsi" w:cstheme="minorHAnsi"/>
        </w:rPr>
        <w:t>“Stress can become productive and useful. It fires up the brain to concentrate on the matter at hand. It can be negative when it makes life seem too hard to manage. It can destroy health which takes years to recover from</w:t>
      </w:r>
      <w:r w:rsidRPr="008726D4">
        <w:rPr>
          <w:rFonts w:eastAsia="Calibri" w:cs="Times New Roman"/>
        </w:rPr>
        <w:t xml:space="preserve">”. </w:t>
      </w:r>
    </w:p>
    <w:p w:rsidR="00245727" w:rsidRPr="008726D4" w:rsidRDefault="00245727" w:rsidP="00245727">
      <w:pPr>
        <w:rPr>
          <w:rFonts w:eastAsia="Calibri" w:cs="Times New Roman"/>
        </w:rPr>
      </w:pPr>
    </w:p>
    <w:p w:rsidR="00245727" w:rsidRPr="008726D4" w:rsidRDefault="00245727" w:rsidP="00245727">
      <w:pPr>
        <w:rPr>
          <w:rFonts w:eastAsia="Arial" w:cs="Times New Roman"/>
          <w:i/>
        </w:rPr>
      </w:pPr>
      <w:r w:rsidRPr="008726D4">
        <w:rPr>
          <w:rFonts w:eastAsia="Arial" w:cs="Times New Roman"/>
          <w:i/>
        </w:rPr>
        <w:t>Cummins responds:</w:t>
      </w:r>
    </w:p>
    <w:p w:rsidR="00245727" w:rsidRPr="008726D4" w:rsidRDefault="00245727" w:rsidP="00245727">
      <w:pPr>
        <w:rPr>
          <w:rFonts w:eastAsia="Calibri" w:cs="Times New Roman"/>
        </w:rPr>
      </w:pPr>
      <w:r w:rsidRPr="008726D4">
        <w:rPr>
          <w:rFonts w:eastAsia="Calibri" w:cs="Times New Roman"/>
        </w:rPr>
        <w:t>Indeed so, and</w:t>
      </w:r>
      <w:r>
        <w:rPr>
          <w:rFonts w:eastAsia="Calibri" w:cs="Times New Roman"/>
        </w:rPr>
        <w:t xml:space="preserve"> this observation</w:t>
      </w:r>
      <w:r w:rsidRPr="008726D4">
        <w:rPr>
          <w:rFonts w:eastAsia="Calibri" w:cs="Times New Roman"/>
        </w:rPr>
        <w:t xml:space="preserve"> </w:t>
      </w:r>
      <w:r>
        <w:rPr>
          <w:rFonts w:eastAsia="Calibri" w:cs="Times New Roman"/>
        </w:rPr>
        <w:t>formed the basis of</w:t>
      </w:r>
      <w:r w:rsidRPr="008726D4">
        <w:rPr>
          <w:rFonts w:eastAsia="Calibri" w:cs="Times New Roman"/>
        </w:rPr>
        <w:t xml:space="preserve"> </w:t>
      </w:r>
      <w:r>
        <w:rPr>
          <w:rFonts w:eastAsia="Calibri" w:cs="Times New Roman"/>
        </w:rPr>
        <w:t>a very early</w:t>
      </w:r>
      <w:r w:rsidRPr="008726D4">
        <w:rPr>
          <w:rFonts w:eastAsia="Calibri" w:cs="Times New Roman"/>
        </w:rPr>
        <w:t xml:space="preserve"> systematic </w:t>
      </w:r>
      <w:r>
        <w:rPr>
          <w:rFonts w:eastAsia="Calibri" w:cs="Times New Roman"/>
        </w:rPr>
        <w:t>study regarding psychological consequences of activation/stress, s</w:t>
      </w:r>
      <w:r w:rsidRPr="008726D4">
        <w:rPr>
          <w:rFonts w:eastAsia="Calibri" w:cs="Times New Roman"/>
        </w:rPr>
        <w:t>ome five</w:t>
      </w:r>
      <w:r>
        <w:rPr>
          <w:rFonts w:eastAsia="Calibri" w:cs="Times New Roman"/>
        </w:rPr>
        <w:t xml:space="preserve"> generations ago.</w:t>
      </w:r>
      <w:r w:rsidRPr="008726D4">
        <w:rPr>
          <w:rFonts w:eastAsia="Calibri" w:cs="Times New Roman"/>
        </w:rPr>
        <w:t xml:space="preserve"> It was the era of ‘Law’ formation in the physical sciences, and </w:t>
      </w:r>
      <w:r>
        <w:rPr>
          <w:rFonts w:eastAsia="Calibri" w:cs="Times New Roman"/>
        </w:rPr>
        <w:t>two</w:t>
      </w:r>
      <w:r w:rsidRPr="008726D4">
        <w:rPr>
          <w:rFonts w:eastAsia="Calibri" w:cs="Times New Roman"/>
        </w:rPr>
        <w:t xml:space="preserve"> psychological researchers were not to be outdone.</w:t>
      </w:r>
      <w:r>
        <w:rPr>
          <w:rFonts w:eastAsia="Calibri" w:cs="Times New Roman"/>
        </w:rPr>
        <w:t xml:space="preserve"> Their</w:t>
      </w:r>
      <w:r w:rsidRPr="008726D4">
        <w:rPr>
          <w:rFonts w:eastAsia="Calibri" w:cs="Times New Roman"/>
        </w:rPr>
        <w:t xml:space="preserve"> ‘Yerkes-Dodson Law’ </w:t>
      </w:r>
      <w:r w:rsidRPr="008726D4">
        <w:rPr>
          <w:rFonts w:eastAsia="Calibri" w:cs="Times New Roman"/>
        </w:rPr>
        <w:fldChar w:fldCharType="begin"/>
      </w:r>
      <w:r w:rsidRPr="008726D4">
        <w:rPr>
          <w:rFonts w:eastAsia="Calibri" w:cs="Times New Roman"/>
        </w:rPr>
        <w:instrText xml:space="preserve"> ADDIN EN.CITE &lt;EndNote&gt;&lt;Cite&gt;&lt;Author&gt;Yerkes&lt;/Author&gt;&lt;Year&gt;1908&lt;/Year&gt;&lt;RecNum&gt;3885&lt;/RecNum&gt;&lt;DisplayText&gt;(Yerkes &amp;amp; Dodson, 1908)&lt;/DisplayText&gt;&lt;record&gt;&lt;rec-number&gt;3885&lt;/rec-number&gt;&lt;foreign-keys&gt;&lt;key app="EN" db-id="z2xarpe9cfrvp4ezdxk5ddx9dsrzr05f22sa" timestamp="1562649642"&gt;3885&lt;/key&gt;&lt;/foreign-keys&gt;&lt;ref-type name="Journal Article"&gt;17&lt;/ref-type&gt;&lt;contributors&gt;&lt;authors&gt;&lt;author&gt;Yerkes, R. M.&lt;/author&gt;&lt;author&gt;Dodson, J. D.&lt;/author&gt;&lt;/authors&gt;&lt;/contributors&gt;&lt;titles&gt;&lt;title&gt;The relation of strength of stimulus to rapidity of habit-formation&lt;/title&gt;&lt;secondary-title&gt;Journal of Comparative Neurology and Psychology&lt;/secondary-title&gt;&lt;/titles&gt;&lt;periodical&gt;&lt;full-title&gt;Journal of Comparative Neurology and Psychology&lt;/full-title&gt;&lt;/periodical&gt;&lt;pages&gt;459–482&lt;/pages&gt;&lt;volume&gt;18&lt;/volume&gt;&lt;number&gt;5&lt;/number&gt;&lt;dates&gt;&lt;year&gt;1908&lt;/year&gt;&lt;/dates&gt;&lt;urls&gt;&lt;/urls&gt;&lt;electronic-resource-num&gt;10.1002/cne.920180503&lt;/electronic-resource-num&gt;&lt;/record&gt;&lt;/Cite&gt;&lt;/EndNote&gt;</w:instrText>
      </w:r>
      <w:r w:rsidRPr="008726D4">
        <w:rPr>
          <w:rFonts w:eastAsia="Calibri" w:cs="Times New Roman"/>
        </w:rPr>
        <w:fldChar w:fldCharType="separate"/>
      </w:r>
      <w:r w:rsidRPr="008726D4">
        <w:rPr>
          <w:rFonts w:eastAsia="Calibri" w:cs="Times New Roman"/>
          <w:noProof/>
        </w:rPr>
        <w:t>(Yerkes &amp; Dodson, 1908)</w:t>
      </w:r>
      <w:r w:rsidRPr="008726D4">
        <w:rPr>
          <w:rFonts w:eastAsia="Calibri" w:cs="Times New Roman"/>
        </w:rPr>
        <w:fldChar w:fldCharType="end"/>
      </w:r>
      <w:r>
        <w:rPr>
          <w:rFonts w:eastAsia="Calibri" w:cs="Times New Roman"/>
        </w:rPr>
        <w:t xml:space="preserve"> </w:t>
      </w:r>
      <w:r w:rsidRPr="008726D4">
        <w:rPr>
          <w:rFonts w:eastAsia="Calibri" w:cs="Times New Roman"/>
        </w:rPr>
        <w:t xml:space="preserve">states that psychological performance increases with increased arousal (stress), but only up to a point. As arousal continues to increase, performance decreases once again. Rather amazingly, they were correct </w:t>
      </w:r>
      <w:r>
        <w:rPr>
          <w:rFonts w:eastAsia="Calibri" w:cs="Times New Roman"/>
        </w:rPr>
        <w:t xml:space="preserve">and their ‘Law’ still finds a place in more recent research </w:t>
      </w:r>
      <w:r w:rsidRPr="008726D4">
        <w:rPr>
          <w:rFonts w:eastAsia="Calibri" w:cs="Times New Roman"/>
        </w:rPr>
        <w:fldChar w:fldCharType="begin"/>
      </w:r>
      <w:r w:rsidR="007B5802">
        <w:rPr>
          <w:rFonts w:eastAsia="Calibri" w:cs="Times New Roman"/>
        </w:rPr>
        <w:instrText xml:space="preserve"> ADDIN EN.CITE &lt;EndNote&gt;&lt;Cite&gt;&lt;Author&gt;Anderson&lt;/Author&gt;&lt;Year&gt;1989&lt;/Year&gt;&lt;RecNum&gt;3887&lt;/RecNum&gt;&lt;Prefix&gt;e.g. &lt;/Prefix&gt;&lt;DisplayText&gt;(e.g. Anderson et al., 1989)&lt;/DisplayText&gt;&lt;record&gt;&lt;rec-number&gt;3887&lt;/rec-number&gt;&lt;foreign-keys&gt;&lt;key app="EN" db-id="z2xarpe9cfrvp4ezdxk5ddx9dsrzr05f22sa" timestamp="1563348087"&gt;3887&lt;/key&gt;&lt;/foreign-keys&gt;&lt;ref-type name="Journal Article"&gt;17&lt;/ref-type&gt;&lt;contributors&gt;&lt;authors&gt;&lt;author&gt;Anderson, K. J.&lt;/author&gt;&lt;author&gt;Revelle, William&lt;/author&gt;&lt;author&gt;Lynch, Mary Jean&lt;/author&gt;&lt;/authors&gt;&lt;/contributors&gt;&lt;titles&gt;&lt;title&gt;Caffeine, impulsivity, and memory scanning: A comparison of two explanations for the Yerkes-Dodson Effect&lt;/title&gt;&lt;secondary-title&gt;Motivation and Emotion&lt;/secondary-title&gt;&lt;/titles&gt;&lt;periodical&gt;&lt;full-title&gt;Motivation and Emotion&lt;/full-title&gt;&lt;/periodical&gt;&lt;pages&gt;1-20&lt;/pages&gt;&lt;volume&gt;13&lt;/volume&gt;&lt;number&gt;1&lt;/number&gt;&lt;dates&gt;&lt;year&gt;1989&lt;/year&gt;&lt;/dates&gt;&lt;isbn&gt;0146-7239&lt;/isbn&gt;&lt;urls&gt;&lt;/urls&gt;&lt;/record&gt;&lt;/Cite&gt;&lt;/EndNote&gt;</w:instrText>
      </w:r>
      <w:r w:rsidRPr="008726D4">
        <w:rPr>
          <w:rFonts w:eastAsia="Calibri" w:cs="Times New Roman"/>
        </w:rPr>
        <w:fldChar w:fldCharType="separate"/>
      </w:r>
      <w:r w:rsidR="0014419E">
        <w:rPr>
          <w:rFonts w:eastAsia="Calibri" w:cs="Times New Roman"/>
          <w:noProof/>
        </w:rPr>
        <w:t>(e.g. Anderson et al., 1989)</w:t>
      </w:r>
      <w:r w:rsidRPr="008726D4">
        <w:rPr>
          <w:rFonts w:eastAsia="Calibri" w:cs="Times New Roman"/>
        </w:rPr>
        <w:fldChar w:fldCharType="end"/>
      </w:r>
      <w:r>
        <w:rPr>
          <w:rFonts w:eastAsia="Calibri" w:cs="Times New Roman"/>
        </w:rPr>
        <w:t>.</w:t>
      </w:r>
    </w:p>
    <w:p w:rsidR="00245727" w:rsidRDefault="00245727" w:rsidP="00245727">
      <w:pPr>
        <w:rPr>
          <w:rFonts w:eastAsia="Arial" w:cs="Times New Roman"/>
          <w:b/>
        </w:rPr>
      </w:pPr>
    </w:p>
    <w:p w:rsidR="00245727" w:rsidRPr="008726D4" w:rsidRDefault="00245727" w:rsidP="00245727">
      <w:pPr>
        <w:rPr>
          <w:rFonts w:eastAsia="Calibri" w:cs="Times New Roman"/>
          <w:b/>
          <w:lang w:eastAsia="en-AU"/>
        </w:rPr>
      </w:pPr>
      <w:r w:rsidRPr="008726D4">
        <w:rPr>
          <w:rFonts w:eastAsia="Calibri" w:cs="Times New Roman"/>
          <w:b/>
          <w:lang w:eastAsia="en-AU"/>
        </w:rPr>
        <w:t>Ron Robertson &lt;woodland2@iinet.net.au&gt;</w:t>
      </w:r>
    </w:p>
    <w:p w:rsidR="00245727" w:rsidRPr="008726D4" w:rsidRDefault="00245727" w:rsidP="00245727">
      <w:pPr>
        <w:rPr>
          <w:rFonts w:ascii="Calibri" w:eastAsia="Times New Roman" w:hAnsi="Calibri" w:cs="Calibri"/>
          <w:color w:val="000000"/>
          <w:lang w:eastAsia="en-AU"/>
        </w:rPr>
      </w:pPr>
      <w:r>
        <w:rPr>
          <w:rFonts w:ascii="Calibri" w:eastAsia="Times New Roman" w:hAnsi="Calibri" w:cs="Calibri"/>
          <w:color w:val="000000"/>
          <w:lang w:eastAsia="en-AU"/>
        </w:rPr>
        <w:t>“</w:t>
      </w:r>
      <w:r w:rsidRPr="008726D4">
        <w:rPr>
          <w:rFonts w:ascii="Calibri" w:eastAsia="Times New Roman" w:hAnsi="Calibri" w:cs="Calibri"/>
          <w:color w:val="000000"/>
          <w:lang w:eastAsia="en-AU"/>
        </w:rPr>
        <w:t xml:space="preserve">Like Juanita I have just passed ninety years. I can relate to her concerns regarding loneliness associated stress. </w:t>
      </w:r>
      <w:proofErr w:type="gramStart"/>
      <w:r w:rsidRPr="008726D4">
        <w:rPr>
          <w:rFonts w:ascii="Calibri" w:eastAsia="Times New Roman" w:hAnsi="Calibri" w:cs="Calibri"/>
          <w:color w:val="000000"/>
          <w:lang w:eastAsia="en-AU"/>
        </w:rPr>
        <w:t>Fortunately</w:t>
      </w:r>
      <w:proofErr w:type="gramEnd"/>
      <w:r w:rsidRPr="008726D4">
        <w:rPr>
          <w:rFonts w:ascii="Calibri" w:eastAsia="Times New Roman" w:hAnsi="Calibri" w:cs="Calibri"/>
          <w:color w:val="000000"/>
          <w:lang w:eastAsia="en-AU"/>
        </w:rPr>
        <w:t xml:space="preserve"> I still am able to operate a few small rural businesses that are rewarding if successful but do not have dire consequences if they fail. They provide a reasonable degree of personal contact and so avoid isolation.</w:t>
      </w:r>
    </w:p>
    <w:p w:rsidR="00245727" w:rsidRPr="008726D4" w:rsidRDefault="00245727" w:rsidP="00245727">
      <w:pPr>
        <w:rPr>
          <w:rFonts w:ascii="Calibri" w:eastAsia="Times New Roman" w:hAnsi="Calibri" w:cs="Calibri"/>
          <w:color w:val="000000"/>
          <w:lang w:eastAsia="en-AU"/>
        </w:rPr>
      </w:pPr>
      <w:r w:rsidRPr="008726D4">
        <w:rPr>
          <w:rFonts w:ascii="Calibri" w:eastAsia="Times New Roman" w:hAnsi="Calibri" w:cs="Calibri"/>
          <w:color w:val="000000"/>
          <w:lang w:eastAsia="en-AU"/>
        </w:rPr>
        <w:t> </w:t>
      </w:r>
    </w:p>
    <w:p w:rsidR="00245727" w:rsidRPr="008726D4" w:rsidRDefault="00245727" w:rsidP="00245727">
      <w:pPr>
        <w:rPr>
          <w:rFonts w:ascii="Calibri" w:eastAsia="Times New Roman" w:hAnsi="Calibri" w:cs="Calibri"/>
          <w:color w:val="000000"/>
          <w:lang w:eastAsia="en-AU"/>
        </w:rPr>
      </w:pPr>
      <w:r w:rsidRPr="008726D4">
        <w:rPr>
          <w:rFonts w:ascii="Calibri" w:eastAsia="Times New Roman" w:hAnsi="Calibri" w:cs="Calibri"/>
          <w:color w:val="000000"/>
          <w:lang w:eastAsia="en-AU"/>
        </w:rPr>
        <w:lastRenderedPageBreak/>
        <w:t>In regard to good stress I often used the analogy of an elastic band that should be stretched to the limit just short of breaking. The concept was that your capacity grows so that you progressively push the limit. In my case it was mostly task related in the working environment but I think students and athletes do much the same thing. It works superbly when achieving goals but problems can arise if the goals become abstract or are not available to you. You then become rudderless until you can align with another task. We probably see this situation sometimes with post career athletes.</w:t>
      </w:r>
    </w:p>
    <w:p w:rsidR="00245727" w:rsidRDefault="00245727" w:rsidP="00245727">
      <w:pPr>
        <w:rPr>
          <w:rFonts w:eastAsia="Arial" w:cs="Times New Roman"/>
          <w:b/>
        </w:rPr>
      </w:pPr>
    </w:p>
    <w:p w:rsidR="00245727" w:rsidRPr="008B2E55" w:rsidRDefault="00245727" w:rsidP="00245727">
      <w:pPr>
        <w:rPr>
          <w:rFonts w:eastAsia="Arial" w:cs="Times New Roman"/>
          <w:i/>
        </w:rPr>
      </w:pPr>
      <w:r w:rsidRPr="008B2E55">
        <w:rPr>
          <w:rFonts w:eastAsia="Arial" w:cs="Times New Roman"/>
          <w:i/>
        </w:rPr>
        <w:t>Cummins responds:</w:t>
      </w:r>
    </w:p>
    <w:p w:rsidR="001722DE" w:rsidRPr="00DE2429" w:rsidRDefault="00245727" w:rsidP="00E50A19">
      <w:pPr>
        <w:rPr>
          <w:rFonts w:eastAsia="Arial" w:cs="Times New Roman"/>
        </w:rPr>
      </w:pPr>
      <w:r w:rsidRPr="002B24A7">
        <w:rPr>
          <w:rFonts w:eastAsia="Arial" w:cs="Times New Roman"/>
        </w:rPr>
        <w:t>Ron provides sage advice</w:t>
      </w:r>
      <w:r>
        <w:rPr>
          <w:rFonts w:eastAsia="Arial" w:cs="Times New Roman"/>
        </w:rPr>
        <w:t xml:space="preserve"> for people of any age, but most especially as they experience the transition into an empty-nest or loss of paid employment. This means they are going to lose two of the three ‘golden-triangle’ homeostatic resources </w:t>
      </w:r>
      <w:r>
        <w:rPr>
          <w:rFonts w:eastAsia="Arial" w:cs="Times New Roman"/>
        </w:rPr>
        <w:fldChar w:fldCharType="begin"/>
      </w:r>
      <w:r w:rsidR="003C37DF">
        <w:rPr>
          <w:rFonts w:eastAsia="Arial" w:cs="Times New Roman"/>
        </w:rPr>
        <w:instrText xml:space="preserve"> ADDIN EN.CITE &lt;EndNote&gt;&lt;Cite&gt;&lt;Author&gt;Cummins&lt;/Author&gt;&lt;Year&gt;2018&lt;/Year&gt;&lt;RecNum&gt;3143&lt;/RecNum&gt;&lt;DisplayText&gt;(Cummins, 2018c)&lt;/DisplayText&gt;&lt;record&gt;&lt;rec-number&gt;3143&lt;/rec-number&gt;&lt;foreign-keys&gt;&lt;key app="EN" db-id="z2xarpe9cfrvp4ezdxk5ddx9dsrzr05f22sa" timestamp="1498726772"&gt;3143&lt;/key&gt;&lt;/foreign-keys&gt;&lt;ref-type name="Journal Article"&gt;17&lt;/ref-type&gt;&lt;contributors&gt;&lt;authors&gt;&lt;author&gt;Cummins, R. A.&lt;/author&gt;&lt;/authors&gt;&lt;/contributors&gt;&lt;titles&gt;&lt;title&gt;The Golden Triangle of Happiness: Essential resources for a happy family&lt;/title&gt;&lt;secondary-title&gt;International Journal of Child, Youth &amp;amp; Family Studies&lt;/secondary-title&gt;&lt;/titles&gt;&lt;periodical&gt;&lt;full-title&gt;International Journal of Child, Youth &amp;amp; Family Studies&lt;/full-title&gt;&lt;/periodical&gt;&lt;pages&gt;12–39&lt;/pages&gt;&lt;volume&gt;9&lt;/volume&gt;&lt;number&gt;4&lt;/number&gt;&lt;dates&gt;&lt;year&gt;2018c&lt;/year&gt;&lt;/dates&gt;&lt;urls&gt;&lt;/urls&gt;&lt;/record&gt;&lt;/Cite&gt;&lt;/EndNote&gt;</w:instrText>
      </w:r>
      <w:r>
        <w:rPr>
          <w:rFonts w:eastAsia="Arial" w:cs="Times New Roman"/>
        </w:rPr>
        <w:fldChar w:fldCharType="separate"/>
      </w:r>
      <w:r w:rsidR="003C37DF">
        <w:rPr>
          <w:rFonts w:eastAsia="Arial" w:cs="Times New Roman"/>
          <w:noProof/>
        </w:rPr>
        <w:t>(Cummins, 2018c)</w:t>
      </w:r>
      <w:r>
        <w:rPr>
          <w:rFonts w:eastAsia="Arial" w:cs="Times New Roman"/>
        </w:rPr>
        <w:fldChar w:fldCharType="end"/>
      </w:r>
      <w:r>
        <w:rPr>
          <w:rFonts w:eastAsia="Arial" w:cs="Times New Roman"/>
        </w:rPr>
        <w:t xml:space="preserve">, thereby leaving themselves open to potential stress. The first loss is that of functional and automatic social contact. The second loss concerns the sense of achieving something useful each day. As people approach this empty-nest/retirement transition, they often underestimate the difficulty of replacing these resources. They feel confident that both losses will be easily compensated, and so they do not need to actively plan for the change. But they do. The establishment and maintenance of meaningful social contacts requires a determined mind-set, the expenditure of energy and time, all directed to the task. The sense of achievement must involve an activity considered to be </w:t>
      </w:r>
      <w:proofErr w:type="gramStart"/>
      <w:r>
        <w:rPr>
          <w:rFonts w:eastAsia="Arial" w:cs="Times New Roman"/>
        </w:rPr>
        <w:t>important, and</w:t>
      </w:r>
      <w:proofErr w:type="gramEnd"/>
      <w:r>
        <w:rPr>
          <w:rFonts w:eastAsia="Arial" w:cs="Times New Roman"/>
        </w:rPr>
        <w:t xml:space="preserve"> must also involve a level of difficulty or uncertainty that gives a sense of achievement when completed. While there can be no universal ‘Plan B’, since everyone has different potentials and opportunities, Ron’s solution does tick all the boxes. </w:t>
      </w:r>
    </w:p>
    <w:p w:rsidR="001722DE" w:rsidRDefault="001722DE" w:rsidP="00E50A19">
      <w:pPr>
        <w:rPr>
          <w:rFonts w:eastAsia="Arial" w:cs="Times New Roman"/>
          <w:b/>
        </w:rPr>
      </w:pPr>
    </w:p>
    <w:p w:rsidR="00E50A19" w:rsidRPr="001947D6" w:rsidRDefault="00E50A19" w:rsidP="00E50A19">
      <w:pPr>
        <w:rPr>
          <w:rFonts w:eastAsia="Arial" w:cs="Times New Roman"/>
        </w:rPr>
      </w:pPr>
      <w:r w:rsidRPr="001947D6">
        <w:rPr>
          <w:rFonts w:eastAsia="Arial" w:cs="Times New Roman"/>
          <w:b/>
        </w:rPr>
        <w:t>References:</w:t>
      </w:r>
      <w:r w:rsidRPr="001947D6">
        <w:rPr>
          <w:rFonts w:eastAsia="Arial" w:cs="Times New Roman"/>
        </w:rPr>
        <w:t xml:space="preserve"> </w:t>
      </w:r>
      <w:r w:rsidRPr="001947D6">
        <w:rPr>
          <w:rFonts w:eastAsia="Arial" w:cs="Times New Roman"/>
          <w:i/>
        </w:rPr>
        <w:t>See end of Bulletin.</w:t>
      </w:r>
    </w:p>
    <w:p w:rsidR="00E50A19" w:rsidRPr="00BB5D46" w:rsidRDefault="00E50A19" w:rsidP="001722DE">
      <w:pPr>
        <w:rPr>
          <w:rFonts w:eastAsia="Arial" w:cs="Times New Roman"/>
          <w:i/>
        </w:rPr>
      </w:pPr>
    </w:p>
    <w:p w:rsidR="00E50A19" w:rsidRPr="00BB5D46" w:rsidRDefault="00E50A19" w:rsidP="00E50A19">
      <w:pPr>
        <w:jc w:val="center"/>
        <w:rPr>
          <w:rFonts w:eastAsia="Arial" w:cs="Times New Roman"/>
          <w:i/>
        </w:rPr>
      </w:pPr>
      <w:r w:rsidRPr="00BB5D46">
        <w:rPr>
          <w:rFonts w:eastAsia="Arial" w:cs="Times New Roman"/>
          <w:i/>
        </w:rPr>
        <w:t xml:space="preserve">Further discussion of </w:t>
      </w:r>
      <w:r w:rsidR="001722DE">
        <w:rPr>
          <w:rFonts w:eastAsia="Arial" w:cs="Times New Roman"/>
          <w:i/>
        </w:rPr>
        <w:t>this topic,</w:t>
      </w:r>
      <w:r w:rsidRPr="00BB5D46">
        <w:rPr>
          <w:rFonts w:eastAsia="Arial" w:cs="Times New Roman"/>
          <w:i/>
        </w:rPr>
        <w:t xml:space="preserve"> for circulation to members, is invited. Send to: </w:t>
      </w:r>
      <w:hyperlink r:id="rId218" w:history="1">
        <w:r w:rsidRPr="00BB5D46">
          <w:rPr>
            <w:rFonts w:eastAsia="Arial" w:cs="Times New Roman"/>
            <w:i/>
            <w:color w:val="0563C1"/>
            <w:u w:val="single"/>
          </w:rPr>
          <w:t>robert.cummins@deakin.edu.au</w:t>
        </w:r>
      </w:hyperlink>
    </w:p>
    <w:p w:rsidR="00E50A19" w:rsidRPr="00BB5D46" w:rsidRDefault="00E50A19" w:rsidP="00E50A19">
      <w:pPr>
        <w:jc w:val="center"/>
        <w:rPr>
          <w:rFonts w:eastAsia="Arial" w:cs="Times New Roman"/>
          <w:i/>
        </w:rPr>
      </w:pPr>
      <w:r w:rsidRPr="00BB5D46">
        <w:rPr>
          <w:rFonts w:eastAsia="Arial" w:cs="Times New Roman"/>
          <w:i/>
        </w:rPr>
        <w:t xml:space="preserve">Substantive comments received by midnight on </w:t>
      </w:r>
      <w:r w:rsidRPr="001722DE">
        <w:rPr>
          <w:rFonts w:eastAsia="Arial" w:cs="Times New Roman"/>
          <w:i/>
        </w:rPr>
        <w:t xml:space="preserve">Monday </w:t>
      </w:r>
      <w:r w:rsidR="001722DE" w:rsidRPr="001722DE">
        <w:rPr>
          <w:rFonts w:eastAsia="Arial" w:cs="Times New Roman"/>
          <w:i/>
        </w:rPr>
        <w:t>15</w:t>
      </w:r>
      <w:r w:rsidR="001722DE" w:rsidRPr="001722DE">
        <w:rPr>
          <w:rFonts w:eastAsia="Arial" w:cs="Times New Roman"/>
          <w:i/>
          <w:vertAlign w:val="superscript"/>
        </w:rPr>
        <w:t>th</w:t>
      </w:r>
      <w:r w:rsidRPr="001722DE">
        <w:rPr>
          <w:rFonts w:eastAsia="Arial" w:cs="Times New Roman"/>
          <w:i/>
        </w:rPr>
        <w:t xml:space="preserve"> </w:t>
      </w:r>
      <w:r w:rsidR="001722DE" w:rsidRPr="001722DE">
        <w:rPr>
          <w:rFonts w:eastAsia="Arial" w:cs="Times New Roman"/>
          <w:i/>
        </w:rPr>
        <w:t>July</w:t>
      </w:r>
      <w:r w:rsidRPr="001722DE">
        <w:rPr>
          <w:rFonts w:eastAsia="Arial" w:cs="Times New Roman"/>
          <w:i/>
        </w:rPr>
        <w:t xml:space="preserve"> 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E50A19" w:rsidRPr="00BB5D46" w:rsidRDefault="00E50A19" w:rsidP="00E50A19">
      <w:pPr>
        <w:jc w:val="center"/>
        <w:rPr>
          <w:rFonts w:eastAsia="Arial" w:cs="Times New Roman"/>
          <w:i/>
        </w:rPr>
      </w:pPr>
    </w:p>
    <w:p w:rsidR="00E50A19" w:rsidRPr="00BB5D46" w:rsidRDefault="00E50A19" w:rsidP="00E50A19">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E50A19" w:rsidRPr="00BB5D46" w:rsidRDefault="00E50A19" w:rsidP="00E50A19">
      <w:pPr>
        <w:rPr>
          <w:rFonts w:eastAsia="Arial" w:cs="Times New Roman"/>
          <w:i/>
        </w:rPr>
      </w:pPr>
    </w:p>
    <w:p w:rsidR="00E50A19" w:rsidRDefault="00E50A19" w:rsidP="00E50A19">
      <w:pPr>
        <w:jc w:val="center"/>
        <w:rPr>
          <w:rFonts w:eastAsia="Arial" w:cs="Times New Roman"/>
          <w:b/>
          <w:sz w:val="32"/>
          <w:szCs w:val="32"/>
        </w:rPr>
      </w:pPr>
    </w:p>
    <w:p w:rsidR="00E50A19" w:rsidRDefault="00E50A19" w:rsidP="00E50A19">
      <w:pPr>
        <w:jc w:val="center"/>
        <w:rPr>
          <w:rFonts w:eastAsia="Arial" w:cs="Times New Roman"/>
          <w:b/>
          <w:sz w:val="32"/>
          <w:szCs w:val="32"/>
        </w:rPr>
      </w:pPr>
    </w:p>
    <w:p w:rsidR="00E50A19" w:rsidRPr="00BB5D46" w:rsidRDefault="00E50A19" w:rsidP="00E50A19">
      <w:pPr>
        <w:jc w:val="center"/>
        <w:rPr>
          <w:rFonts w:eastAsia="Calibri" w:cs="Times New Roman"/>
          <w:i/>
          <w:szCs w:val="22"/>
        </w:rPr>
      </w:pPr>
    </w:p>
    <w:p w:rsidR="00E50A19" w:rsidRDefault="00E50A19" w:rsidP="00E50A19">
      <w:pPr>
        <w:jc w:val="center"/>
        <w:rPr>
          <w:rFonts w:eastAsia="Times New Roman" w:cs="Times New Roman"/>
          <w:b/>
          <w:sz w:val="32"/>
          <w:szCs w:val="32"/>
          <w:lang w:val="en-US"/>
        </w:rPr>
      </w:pPr>
      <w:r w:rsidRPr="00BB5D46">
        <w:rPr>
          <w:rFonts w:eastAsia="Times New Roman" w:cs="Times New Roman"/>
          <w:b/>
          <w:sz w:val="32"/>
          <w:szCs w:val="32"/>
          <w:lang w:val="en-US"/>
        </w:rPr>
        <w:t>Website additions and changes</w:t>
      </w:r>
    </w:p>
    <w:p w:rsidR="00E50A19" w:rsidRDefault="00E50A19" w:rsidP="00E50A19">
      <w:pPr>
        <w:jc w:val="center"/>
        <w:rPr>
          <w:rFonts w:eastAsia="Arial" w:cs="Times New Roman"/>
          <w:i/>
          <w:sz w:val="22"/>
          <w:szCs w:val="22"/>
        </w:rPr>
      </w:pPr>
      <w:r w:rsidRPr="008C2032">
        <w:rPr>
          <w:rFonts w:eastAsia="Arial" w:cs="Times New Roman"/>
          <w:i/>
          <w:sz w:val="22"/>
          <w:szCs w:val="22"/>
        </w:rPr>
        <w:t>Tanja Capic &lt;tanja.capic@deakin.edu.au&gt;</w:t>
      </w:r>
    </w:p>
    <w:p w:rsidR="00E50A19" w:rsidRPr="008C2032" w:rsidRDefault="00E50A19" w:rsidP="00E50A19">
      <w:pPr>
        <w:jc w:val="center"/>
        <w:rPr>
          <w:rFonts w:eastAsia="Arial" w:cs="Times New Roman"/>
          <w:i/>
          <w:sz w:val="22"/>
          <w:szCs w:val="22"/>
        </w:rPr>
      </w:pPr>
      <w:proofErr w:type="spellStart"/>
      <w:r>
        <w:rPr>
          <w:rFonts w:eastAsia="Arial" w:cs="Times New Roman"/>
          <w:i/>
          <w:sz w:val="22"/>
          <w:szCs w:val="22"/>
        </w:rPr>
        <w:t>WebMaster</w:t>
      </w:r>
      <w:proofErr w:type="spellEnd"/>
    </w:p>
    <w:p w:rsidR="007F4A32" w:rsidRDefault="007F4A32" w:rsidP="00E50A19">
      <w:pPr>
        <w:jc w:val="center"/>
        <w:rPr>
          <w:rFonts w:eastAsia="Arial" w:cs="Times New Roman"/>
          <w:i/>
          <w:sz w:val="22"/>
          <w:szCs w:val="22"/>
        </w:rPr>
      </w:pPr>
    </w:p>
    <w:p w:rsidR="002719A0" w:rsidRPr="002719A0" w:rsidRDefault="002719A0" w:rsidP="002719A0">
      <w:pPr>
        <w:rPr>
          <w:rFonts w:eastAsia="Calibri" w:cs="Times New Roman"/>
          <w:lang w:eastAsia="en-AU"/>
        </w:rPr>
      </w:pPr>
      <w:r w:rsidRPr="002719A0">
        <w:rPr>
          <w:rFonts w:eastAsia="Calibri" w:cs="Times New Roman"/>
          <w:lang w:eastAsia="en-AU"/>
        </w:rPr>
        <w:t xml:space="preserve">Australian Unity Wellbeing Index </w:t>
      </w:r>
      <w:r w:rsidR="007F4A32" w:rsidRPr="007F4A32">
        <w:rPr>
          <w:rFonts w:eastAsia="Calibri" w:cs="Times New Roman"/>
          <w:lang w:eastAsia="en-AU"/>
        </w:rPr>
        <w:t xml:space="preserve">Reports 34.1 and 35.0 </w:t>
      </w:r>
      <w:r w:rsidRPr="002719A0">
        <w:rPr>
          <w:rFonts w:eastAsia="Calibri" w:cs="Times New Roman"/>
          <w:lang w:eastAsia="en-AU"/>
        </w:rPr>
        <w:t>are now available from</w:t>
      </w:r>
    </w:p>
    <w:p w:rsidR="002719A0" w:rsidRDefault="00DF3874" w:rsidP="002719A0">
      <w:pPr>
        <w:rPr>
          <w:rFonts w:eastAsia="Calibri" w:cs="Times New Roman"/>
          <w:lang w:eastAsia="en-AU"/>
        </w:rPr>
      </w:pPr>
      <w:hyperlink r:id="rId219" w:anchor="reports" w:history="1">
        <w:r w:rsidR="007E3C15" w:rsidRPr="0021601A">
          <w:rPr>
            <w:rStyle w:val="Hyperlink"/>
            <w:rFonts w:eastAsia="Calibri" w:cs="Times New Roman"/>
            <w:lang w:eastAsia="en-AU"/>
          </w:rPr>
          <w:t>http://www.acqol.com.au/publications#reports</w:t>
        </w:r>
      </w:hyperlink>
    </w:p>
    <w:p w:rsidR="007F4A32" w:rsidRPr="007F4A32" w:rsidRDefault="007E3C15" w:rsidP="002719A0">
      <w:pPr>
        <w:rPr>
          <w:rFonts w:eastAsia="Calibri" w:cs="Times New Roman"/>
          <w:lang w:eastAsia="en-AU"/>
        </w:rPr>
      </w:pPr>
      <w:r>
        <w:rPr>
          <w:rFonts w:eastAsia="Calibri" w:cs="Times New Roman"/>
          <w:lang w:eastAsia="en-AU"/>
        </w:rPr>
        <w:t>Each report is accompanied by a data file and coding map.</w:t>
      </w:r>
      <w:r w:rsidR="007F4A32" w:rsidRPr="007F4A32">
        <w:rPr>
          <w:rFonts w:eastAsia="Calibri" w:cs="Times New Roman"/>
          <w:lang w:eastAsia="en-AU"/>
        </w:rPr>
        <w:t xml:space="preserve"> </w:t>
      </w:r>
    </w:p>
    <w:p w:rsidR="007F4A32" w:rsidRPr="002719A0" w:rsidRDefault="007F4A32" w:rsidP="002719A0">
      <w:pPr>
        <w:rPr>
          <w:rFonts w:eastAsia="Arial" w:cs="Times New Roman"/>
          <w:b/>
        </w:rPr>
      </w:pPr>
    </w:p>
    <w:p w:rsidR="007F4A32" w:rsidRPr="002719A0" w:rsidRDefault="007F4A32" w:rsidP="002719A0">
      <w:pPr>
        <w:rPr>
          <w:rFonts w:eastAsia="Arial" w:cs="Times New Roman"/>
          <w:b/>
        </w:rPr>
      </w:pPr>
      <w:r w:rsidRPr="002719A0">
        <w:rPr>
          <w:rFonts w:eastAsia="Arial" w:cs="Times New Roman"/>
          <w:b/>
          <w:bCs/>
        </w:rPr>
        <w:t>Aus</w:t>
      </w:r>
      <w:r w:rsidR="007E3C15">
        <w:rPr>
          <w:rFonts w:eastAsia="Arial" w:cs="Times New Roman"/>
          <w:b/>
          <w:bCs/>
        </w:rPr>
        <w:t xml:space="preserve">tralian Unity Wellbeing Index: </w:t>
      </w:r>
      <w:r w:rsidRPr="002719A0">
        <w:rPr>
          <w:rFonts w:eastAsia="Arial" w:cs="Times New Roman"/>
          <w:b/>
          <w:bCs/>
        </w:rPr>
        <w:t xml:space="preserve">Summary Report 2002-2017 </w:t>
      </w:r>
    </w:p>
    <w:p w:rsidR="007F4A32" w:rsidRPr="007E3C15" w:rsidRDefault="007E3C15" w:rsidP="002719A0">
      <w:pPr>
        <w:rPr>
          <w:rFonts w:eastAsia="Arial" w:cs="Times New Roman"/>
        </w:rPr>
      </w:pPr>
      <w:r w:rsidRPr="007E3C15">
        <w:rPr>
          <w:rFonts w:eastAsia="Arial" w:cs="Times New Roman"/>
          <w:bCs/>
        </w:rPr>
        <w:t xml:space="preserve">Report 34.1   </w:t>
      </w:r>
      <w:r w:rsidR="007F4A32" w:rsidRPr="007E3C15">
        <w:rPr>
          <w:rFonts w:eastAsia="Arial" w:cs="Times New Roman"/>
          <w:bCs/>
        </w:rPr>
        <w:t xml:space="preserve">July 2018 </w:t>
      </w:r>
    </w:p>
    <w:p w:rsidR="007F4A32" w:rsidRPr="007E3C15" w:rsidRDefault="007F4A32" w:rsidP="002719A0">
      <w:pPr>
        <w:rPr>
          <w:rFonts w:eastAsia="Arial" w:cs="Times New Roman"/>
          <w:b/>
        </w:rPr>
      </w:pPr>
      <w:r w:rsidRPr="007E3C15">
        <w:rPr>
          <w:rFonts w:eastAsia="Arial" w:cs="Times New Roman"/>
          <w:b/>
          <w:bCs/>
        </w:rPr>
        <w:t xml:space="preserve">Sixteen years of Subjective Wellbeing </w:t>
      </w:r>
    </w:p>
    <w:p w:rsidR="007F4A32" w:rsidRPr="007E3C15" w:rsidRDefault="007F4A32" w:rsidP="002719A0">
      <w:pPr>
        <w:rPr>
          <w:rFonts w:eastAsia="Arial" w:cs="Times New Roman"/>
        </w:rPr>
      </w:pPr>
      <w:r w:rsidRPr="007E3C15">
        <w:rPr>
          <w:rFonts w:eastAsia="Arial" w:cs="Times New Roman"/>
          <w:i/>
          <w:iCs/>
        </w:rPr>
        <w:lastRenderedPageBreak/>
        <w:t xml:space="preserve">The Australian Unity Wellbeing Research Team: </w:t>
      </w:r>
    </w:p>
    <w:p w:rsidR="007F4A32" w:rsidRPr="007E3C15" w:rsidRDefault="007F4A32" w:rsidP="002719A0">
      <w:pPr>
        <w:rPr>
          <w:rFonts w:eastAsia="Arial" w:cs="Times New Roman"/>
        </w:rPr>
      </w:pPr>
      <w:r w:rsidRPr="007E3C15">
        <w:rPr>
          <w:rFonts w:eastAsia="Arial" w:cs="Times New Roman"/>
        </w:rPr>
        <w:t xml:space="preserve">Tanja Capic, Matthew Fuller-Tyszkiewicz, Robert A. Cummins, Sarah Khor, </w:t>
      </w:r>
    </w:p>
    <w:p w:rsidR="007F4A32" w:rsidRPr="007E3C15" w:rsidRDefault="007F4A32" w:rsidP="002719A0">
      <w:pPr>
        <w:rPr>
          <w:rFonts w:eastAsia="Arial" w:cs="Times New Roman"/>
        </w:rPr>
      </w:pPr>
      <w:r w:rsidRPr="007E3C15">
        <w:rPr>
          <w:rFonts w:eastAsia="Arial" w:cs="Times New Roman"/>
        </w:rPr>
        <w:t>Ben Richardson, Craig Olsson, Delyse Hutchinson</w:t>
      </w:r>
      <w:r w:rsidR="007E3C15" w:rsidRPr="007E3C15">
        <w:rPr>
          <w:rFonts w:eastAsia="Arial" w:cs="Times New Roman"/>
        </w:rPr>
        <w:t>.</w:t>
      </w:r>
    </w:p>
    <w:p w:rsidR="007E3C15" w:rsidRPr="00DE2429" w:rsidRDefault="00DE2429" w:rsidP="00DE2429">
      <w:pPr>
        <w:rPr>
          <w:rFonts w:eastAsia="Arial" w:cs="Times New Roman"/>
          <w:b/>
          <w:i/>
        </w:rPr>
      </w:pPr>
      <w:r w:rsidRPr="00DE2429">
        <w:rPr>
          <w:i/>
          <w:sz w:val="22"/>
          <w:szCs w:val="22"/>
        </w:rPr>
        <w:t xml:space="preserve">This report examines the relationship between the Subjective Wellbeing (SWB) of Australian adults and a range of key socio-demographic factors previously linked to wellbeing including: </w:t>
      </w:r>
      <w:r w:rsidRPr="00DE2429">
        <w:rPr>
          <w:i/>
          <w:iCs/>
          <w:sz w:val="22"/>
          <w:szCs w:val="22"/>
        </w:rPr>
        <w:t xml:space="preserve">gender, age, household income </w:t>
      </w:r>
      <w:r w:rsidRPr="00DE2429">
        <w:rPr>
          <w:i/>
          <w:sz w:val="22"/>
          <w:szCs w:val="22"/>
        </w:rPr>
        <w:t xml:space="preserve">and </w:t>
      </w:r>
      <w:r w:rsidRPr="00DE2429">
        <w:rPr>
          <w:i/>
          <w:iCs/>
          <w:sz w:val="22"/>
          <w:szCs w:val="22"/>
        </w:rPr>
        <w:t>composition</w:t>
      </w:r>
      <w:r w:rsidRPr="00DE2429">
        <w:rPr>
          <w:i/>
          <w:sz w:val="22"/>
          <w:szCs w:val="22"/>
        </w:rPr>
        <w:t xml:space="preserve">, </w:t>
      </w:r>
      <w:r w:rsidRPr="00DE2429">
        <w:rPr>
          <w:i/>
          <w:iCs/>
          <w:sz w:val="22"/>
          <w:szCs w:val="22"/>
        </w:rPr>
        <w:t xml:space="preserve">marital status </w:t>
      </w:r>
      <w:r w:rsidRPr="00DE2429">
        <w:rPr>
          <w:i/>
          <w:sz w:val="22"/>
          <w:szCs w:val="22"/>
        </w:rPr>
        <w:t xml:space="preserve">and </w:t>
      </w:r>
      <w:r w:rsidRPr="00DE2429">
        <w:rPr>
          <w:i/>
          <w:iCs/>
          <w:sz w:val="22"/>
          <w:szCs w:val="22"/>
        </w:rPr>
        <w:t>work status</w:t>
      </w:r>
      <w:r w:rsidRPr="00DE2429">
        <w:rPr>
          <w:i/>
          <w:sz w:val="22"/>
          <w:szCs w:val="22"/>
        </w:rPr>
        <w:t>. The report also examines trends in age and SWB over time. Data are drawn from the Australian Unity Wellbeing Index (AUWI); a survey that has assessed the wellbeing of Australian adults using repeated, nationally representative samples, collected over a 16-year period from 2002-2017. The overall sample comprised 60,128 participants.</w:t>
      </w:r>
    </w:p>
    <w:p w:rsidR="00DE2429" w:rsidRDefault="00DE2429" w:rsidP="007E3C15">
      <w:pPr>
        <w:rPr>
          <w:rFonts w:eastAsia="Arial" w:cs="Times New Roman"/>
          <w:b/>
          <w:bCs/>
        </w:rPr>
      </w:pPr>
    </w:p>
    <w:p w:rsidR="007E3C15" w:rsidRPr="007E3C15" w:rsidRDefault="007E3C15" w:rsidP="007E3C15">
      <w:pPr>
        <w:rPr>
          <w:rFonts w:eastAsia="Arial" w:cs="Times New Roman"/>
          <w:b/>
        </w:rPr>
      </w:pPr>
      <w:r w:rsidRPr="007E3C15">
        <w:rPr>
          <w:rFonts w:eastAsia="Arial" w:cs="Times New Roman"/>
          <w:b/>
          <w:bCs/>
        </w:rPr>
        <w:t>Au</w:t>
      </w:r>
      <w:r>
        <w:rPr>
          <w:rFonts w:eastAsia="Arial" w:cs="Times New Roman"/>
          <w:b/>
          <w:bCs/>
        </w:rPr>
        <w:t xml:space="preserve">stralian Unity Wellbeing Index: </w:t>
      </w:r>
      <w:r w:rsidRPr="007E3C15">
        <w:rPr>
          <w:rFonts w:eastAsia="Arial" w:cs="Times New Roman"/>
          <w:b/>
          <w:bCs/>
        </w:rPr>
        <w:t xml:space="preserve">Financial Control </w:t>
      </w:r>
    </w:p>
    <w:p w:rsidR="007E3C15" w:rsidRPr="007E3C15" w:rsidRDefault="007E3C15" w:rsidP="007E3C15">
      <w:pPr>
        <w:rPr>
          <w:rFonts w:eastAsia="Arial" w:cs="Times New Roman"/>
        </w:rPr>
      </w:pPr>
      <w:r w:rsidRPr="007E3C15">
        <w:rPr>
          <w:rFonts w:eastAsia="Arial" w:cs="Times New Roman"/>
          <w:bCs/>
        </w:rPr>
        <w:t xml:space="preserve">Report 35.0 </w:t>
      </w:r>
      <w:r w:rsidRPr="007E3C15">
        <w:rPr>
          <w:rFonts w:eastAsia="Arial" w:cs="Times New Roman"/>
        </w:rPr>
        <w:t xml:space="preserve">  </w:t>
      </w:r>
      <w:r w:rsidRPr="007E3C15">
        <w:rPr>
          <w:rFonts w:eastAsia="Arial" w:cs="Times New Roman"/>
          <w:bCs/>
        </w:rPr>
        <w:t xml:space="preserve">December 2018 </w:t>
      </w:r>
    </w:p>
    <w:p w:rsidR="007E3C15" w:rsidRPr="007E3C15" w:rsidRDefault="007E3C15" w:rsidP="007E3C15">
      <w:pPr>
        <w:rPr>
          <w:rFonts w:eastAsia="Arial" w:cs="Times New Roman"/>
        </w:rPr>
      </w:pPr>
      <w:r w:rsidRPr="007E3C15">
        <w:rPr>
          <w:rFonts w:eastAsia="Arial" w:cs="Times New Roman"/>
          <w:i/>
          <w:iCs/>
        </w:rPr>
        <w:t xml:space="preserve">The Australian Unity Wellbeing Research Team: </w:t>
      </w:r>
    </w:p>
    <w:p w:rsidR="007E3C15" w:rsidRDefault="007E3C15" w:rsidP="007E3C15">
      <w:pPr>
        <w:rPr>
          <w:rFonts w:eastAsia="Arial" w:cs="Times New Roman"/>
        </w:rPr>
      </w:pPr>
      <w:r w:rsidRPr="007E3C15">
        <w:rPr>
          <w:rFonts w:eastAsia="Arial" w:cs="Times New Roman"/>
        </w:rPr>
        <w:t>Tanja Capic, Matthew Fuller-Tyszkiewicz, Robert A. Cummins, Sarah Khor, Ben Richardson, Chris Greenwood, Craig A. Olsson, Delyse Hutchinson.</w:t>
      </w:r>
    </w:p>
    <w:p w:rsidR="00E50A19" w:rsidRDefault="00A02671" w:rsidP="00536382">
      <w:pPr>
        <w:rPr>
          <w:rFonts w:eastAsia="Arial" w:cs="Times New Roman"/>
          <w:i/>
          <w:sz w:val="22"/>
          <w:szCs w:val="22"/>
        </w:rPr>
      </w:pPr>
      <w:r w:rsidRPr="00A02671">
        <w:rPr>
          <w:rFonts w:eastAsia="Arial" w:cs="Times New Roman"/>
          <w:i/>
          <w:sz w:val="22"/>
          <w:szCs w:val="22"/>
        </w:rPr>
        <w:t xml:space="preserve">This report examines the relationship between the Subjective Wellbeing (SWB) of Australian adults and a range of key socio-demographic factors linked to wellbeing including: gender, age, household income and composition, marital status and work status. It also examines the relationship between SWB and measures of financial control. Data are drawn from Survey 35 </w:t>
      </w:r>
      <w:r w:rsidR="00895CA9">
        <w:rPr>
          <w:rFonts w:eastAsia="Arial" w:cs="Times New Roman"/>
          <w:i/>
          <w:sz w:val="22"/>
          <w:szCs w:val="22"/>
        </w:rPr>
        <w:t>and comprise</w:t>
      </w:r>
      <w:r w:rsidRPr="00A02671">
        <w:rPr>
          <w:rFonts w:eastAsia="Arial" w:cs="Times New Roman"/>
          <w:i/>
          <w:sz w:val="22"/>
          <w:szCs w:val="22"/>
        </w:rPr>
        <w:t xml:space="preserve"> 1,965 participants.</w:t>
      </w:r>
    </w:p>
    <w:p w:rsidR="00895CA9" w:rsidRPr="00895CA9" w:rsidRDefault="00895CA9" w:rsidP="00536382">
      <w:pPr>
        <w:rPr>
          <w:rFonts w:eastAsia="Arial" w:cs="Times New Roman"/>
          <w:i/>
          <w:sz w:val="22"/>
          <w:szCs w:val="22"/>
        </w:rPr>
      </w:pPr>
    </w:p>
    <w:p w:rsidR="00E50A19" w:rsidRDefault="00E50A19" w:rsidP="00E50A19">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E50A19" w:rsidRPr="004A2F62" w:rsidRDefault="00E50A19" w:rsidP="00E50A19">
      <w:pPr>
        <w:jc w:val="center"/>
        <w:rPr>
          <w:rFonts w:eastAsia="Calibri" w:cs="Times New Roman"/>
          <w:i/>
          <w:szCs w:val="22"/>
        </w:rPr>
      </w:pPr>
      <w:r w:rsidRPr="007F0718">
        <w:rPr>
          <w:rFonts w:eastAsia="Calibri" w:cs="Times New Roman"/>
          <w:i/>
          <w:szCs w:val="22"/>
        </w:rPr>
        <w:t>Sourced from the Analysis &amp; Policy Observatory</w:t>
      </w:r>
    </w:p>
    <w:p w:rsidR="00536382" w:rsidRDefault="00536382" w:rsidP="00536382">
      <w:pPr>
        <w:jc w:val="center"/>
        <w:rPr>
          <w:rFonts w:eastAsia="Arial" w:cs="Times New Roman"/>
          <w:color w:val="000000"/>
          <w:sz w:val="28"/>
          <w:szCs w:val="28"/>
        </w:rPr>
      </w:pPr>
    </w:p>
    <w:p w:rsidR="00536382" w:rsidRPr="00536382" w:rsidRDefault="00536382" w:rsidP="00536382">
      <w:pPr>
        <w:jc w:val="center"/>
        <w:rPr>
          <w:rFonts w:eastAsia="Arial" w:cs="Times New Roman"/>
          <w:color w:val="000000"/>
          <w:sz w:val="28"/>
          <w:szCs w:val="28"/>
        </w:rPr>
      </w:pPr>
      <w:r w:rsidRPr="00536382">
        <w:rPr>
          <w:rFonts w:ascii="MinionPro-Regular" w:hAnsi="MinionPro-Regular" w:cs="MinionPro-Regular"/>
          <w:sz w:val="22"/>
          <w:szCs w:val="22"/>
        </w:rPr>
        <w:t xml:space="preserve">Ferguson, Z., &amp; Thurman, B. (2019). The Practice of Kindness: Learning from the Kindness Innovation Network and North </w:t>
      </w:r>
      <w:proofErr w:type="spellStart"/>
      <w:r w:rsidRPr="00536382">
        <w:rPr>
          <w:rFonts w:ascii="MinionPro-Regular" w:hAnsi="MinionPro-Regular" w:cs="MinionPro-Regular"/>
          <w:sz w:val="22"/>
          <w:szCs w:val="22"/>
        </w:rPr>
        <w:t>Ayrshire.Dunfermline</w:t>
      </w:r>
      <w:proofErr w:type="spellEnd"/>
      <w:r w:rsidRPr="00536382">
        <w:rPr>
          <w:rFonts w:ascii="MinionPro-Regular" w:hAnsi="MinionPro-Regular" w:cs="MinionPro-Regular"/>
          <w:sz w:val="22"/>
          <w:szCs w:val="22"/>
        </w:rPr>
        <w:t>: Carnegie UK Trust.</w:t>
      </w:r>
    </w:p>
    <w:p w:rsidR="00536382" w:rsidRDefault="00DF3874" w:rsidP="00536382">
      <w:pPr>
        <w:rPr>
          <w:rFonts w:eastAsia="Arial" w:cs="Times New Roman"/>
          <w:color w:val="000000"/>
          <w:sz w:val="20"/>
          <w:szCs w:val="20"/>
          <w:lang w:val="en-US"/>
        </w:rPr>
      </w:pPr>
      <w:hyperlink r:id="rId220" w:history="1">
        <w:r w:rsidR="00536382" w:rsidRPr="002300E9">
          <w:rPr>
            <w:rStyle w:val="Hyperlink"/>
            <w:rFonts w:eastAsia="Arial" w:cs="Times New Roman"/>
            <w:sz w:val="20"/>
            <w:szCs w:val="20"/>
            <w:lang w:val="en-US"/>
          </w:rPr>
          <w:t>https://apo.org.au/sites/default/files/resource-files/2019/06/apo-nid244236-1369326.pdf</w:t>
        </w:r>
      </w:hyperlink>
    </w:p>
    <w:p w:rsidR="00536382" w:rsidRDefault="00536382" w:rsidP="00536382">
      <w:pPr>
        <w:rPr>
          <w:rFonts w:eastAsia="Arial" w:cs="Times New Roman"/>
          <w:color w:val="000000"/>
          <w:sz w:val="20"/>
          <w:szCs w:val="20"/>
          <w:lang w:val="en-US"/>
        </w:rPr>
      </w:pPr>
    </w:p>
    <w:p w:rsidR="00536382" w:rsidRPr="00536382" w:rsidRDefault="00536382" w:rsidP="00536382">
      <w:pPr>
        <w:rPr>
          <w:rFonts w:cs="Times New Roman"/>
        </w:rPr>
      </w:pPr>
      <w:r w:rsidRPr="00536382">
        <w:rPr>
          <w:rFonts w:eastAsia="Arial" w:cs="Times New Roman"/>
          <w:color w:val="000000"/>
        </w:rPr>
        <w:t>In Scotland, kindness is recognised as a key</w:t>
      </w:r>
      <w:r>
        <w:rPr>
          <w:rFonts w:eastAsia="Arial" w:cs="Times New Roman"/>
          <w:color w:val="000000"/>
        </w:rPr>
        <w:t xml:space="preserve"> </w:t>
      </w:r>
      <w:r w:rsidRPr="00536382">
        <w:rPr>
          <w:rFonts w:eastAsia="Arial" w:cs="Times New Roman"/>
          <w:color w:val="000000"/>
        </w:rPr>
        <w:t>element in tackling social isolation and loneliness</w:t>
      </w:r>
      <w:r>
        <w:rPr>
          <w:rFonts w:eastAsia="Arial" w:cs="Times New Roman"/>
          <w:color w:val="000000"/>
        </w:rPr>
        <w:t xml:space="preserve"> </w:t>
      </w:r>
      <w:r w:rsidRPr="00536382">
        <w:rPr>
          <w:rFonts w:eastAsia="Arial" w:cs="Times New Roman"/>
          <w:color w:val="000000"/>
        </w:rPr>
        <w:t>(Scottish Government, 2018), is discussed widely</w:t>
      </w:r>
      <w:r>
        <w:rPr>
          <w:rFonts w:eastAsia="Arial" w:cs="Times New Roman"/>
          <w:color w:val="000000"/>
        </w:rPr>
        <w:t xml:space="preserve"> </w:t>
      </w:r>
      <w:r w:rsidRPr="00536382">
        <w:rPr>
          <w:rFonts w:eastAsia="Arial" w:cs="Times New Roman"/>
          <w:color w:val="000000"/>
        </w:rPr>
        <w:t>in varied professional debates, and sits alongside</w:t>
      </w:r>
      <w:r>
        <w:rPr>
          <w:rFonts w:eastAsia="Arial" w:cs="Times New Roman"/>
          <w:color w:val="000000"/>
        </w:rPr>
        <w:t xml:space="preserve"> </w:t>
      </w:r>
      <w:r w:rsidRPr="00536382">
        <w:rPr>
          <w:rFonts w:eastAsia="Arial" w:cs="Times New Roman"/>
          <w:color w:val="000000"/>
        </w:rPr>
        <w:t>values of dignity and compassion at the heart</w:t>
      </w:r>
      <w:r>
        <w:rPr>
          <w:rFonts w:eastAsia="Arial" w:cs="Times New Roman"/>
          <w:color w:val="000000"/>
        </w:rPr>
        <w:t xml:space="preserve"> </w:t>
      </w:r>
      <w:r w:rsidRPr="00536382">
        <w:rPr>
          <w:rFonts w:eastAsia="Arial" w:cs="Times New Roman"/>
          <w:color w:val="000000"/>
        </w:rPr>
        <w:t>of the new National Performance Framework</w:t>
      </w:r>
      <w:r>
        <w:rPr>
          <w:rFonts w:eastAsia="Arial" w:cs="Times New Roman"/>
          <w:color w:val="000000"/>
        </w:rPr>
        <w:t xml:space="preserve"> </w:t>
      </w:r>
      <w:r w:rsidRPr="00536382">
        <w:rPr>
          <w:rFonts w:eastAsia="Arial" w:cs="Times New Roman"/>
          <w:color w:val="000000"/>
        </w:rPr>
        <w:t>(Scottish Government, 2018).</w:t>
      </w:r>
      <w:r>
        <w:rPr>
          <w:rFonts w:eastAsia="Arial" w:cs="Times New Roman"/>
          <w:color w:val="000000"/>
        </w:rPr>
        <w:t xml:space="preserve"> </w:t>
      </w:r>
      <w:r w:rsidRPr="00536382">
        <w:rPr>
          <w:rFonts w:eastAsia="Arial" w:cs="Times New Roman"/>
          <w:color w:val="000000"/>
        </w:rPr>
        <w:t>The acceptance of kindness in public policy</w:t>
      </w:r>
      <w:r>
        <w:rPr>
          <w:rFonts w:eastAsia="Arial" w:cs="Times New Roman"/>
          <w:color w:val="000000"/>
        </w:rPr>
        <w:t xml:space="preserve"> …</w:t>
      </w:r>
      <w:r w:rsidRPr="00536382">
        <w:rPr>
          <w:rFonts w:eastAsia="Arial" w:cs="Times New Roman"/>
          <w:color w:val="000000"/>
        </w:rPr>
        <w:t xml:space="preserve"> sits alongside a wider, developing narrative around</w:t>
      </w:r>
      <w:r>
        <w:rPr>
          <w:rFonts w:eastAsia="Arial" w:cs="Times New Roman"/>
          <w:color w:val="000000"/>
        </w:rPr>
        <w:t xml:space="preserve"> </w:t>
      </w:r>
      <w:r w:rsidRPr="00536382">
        <w:rPr>
          <w:rFonts w:eastAsia="Arial" w:cs="Times New Roman"/>
          <w:color w:val="000000"/>
        </w:rPr>
        <w:t>the place of values. The response to New Zealand</w:t>
      </w:r>
      <w:r>
        <w:rPr>
          <w:rFonts w:eastAsia="Arial" w:cs="Times New Roman"/>
          <w:color w:val="000000"/>
        </w:rPr>
        <w:t xml:space="preserve"> </w:t>
      </w:r>
      <w:r w:rsidRPr="00536382">
        <w:rPr>
          <w:rFonts w:eastAsia="Arial" w:cs="Times New Roman"/>
          <w:color w:val="000000"/>
        </w:rPr>
        <w:t xml:space="preserve">Prime Minister, </w:t>
      </w:r>
      <w:proofErr w:type="spellStart"/>
      <w:r w:rsidRPr="00536382">
        <w:rPr>
          <w:rFonts w:eastAsia="Arial" w:cs="Times New Roman"/>
          <w:color w:val="000000"/>
        </w:rPr>
        <w:t>Jacinda</w:t>
      </w:r>
      <w:proofErr w:type="spellEnd"/>
      <w:r w:rsidRPr="00536382">
        <w:rPr>
          <w:rFonts w:eastAsia="Arial" w:cs="Times New Roman"/>
          <w:color w:val="000000"/>
        </w:rPr>
        <w:t xml:space="preserve"> </w:t>
      </w:r>
      <w:proofErr w:type="spellStart"/>
      <w:r w:rsidRPr="00536382">
        <w:rPr>
          <w:rFonts w:eastAsia="Arial" w:cs="Times New Roman"/>
          <w:color w:val="000000"/>
        </w:rPr>
        <w:t>Ardern</w:t>
      </w:r>
      <w:proofErr w:type="spellEnd"/>
      <w:r w:rsidRPr="00536382">
        <w:rPr>
          <w:rFonts w:eastAsia="Arial" w:cs="Times New Roman"/>
          <w:color w:val="000000"/>
        </w:rPr>
        <w:t>, described as ‘a</w:t>
      </w:r>
      <w:r>
        <w:rPr>
          <w:rFonts w:eastAsia="Arial" w:cs="Times New Roman"/>
          <w:color w:val="000000"/>
        </w:rPr>
        <w:t xml:space="preserve"> </w:t>
      </w:r>
      <w:r w:rsidRPr="00536382">
        <w:rPr>
          <w:rFonts w:eastAsia="Arial" w:cs="Times New Roman"/>
          <w:color w:val="000000"/>
        </w:rPr>
        <w:t>leader with love on full display’ (</w:t>
      </w:r>
      <w:proofErr w:type="spellStart"/>
      <w:r w:rsidRPr="00536382">
        <w:rPr>
          <w:rFonts w:eastAsia="Arial" w:cs="Times New Roman"/>
          <w:color w:val="000000"/>
        </w:rPr>
        <w:t>Nagesh</w:t>
      </w:r>
      <w:proofErr w:type="spellEnd"/>
      <w:r w:rsidRPr="00536382">
        <w:rPr>
          <w:rFonts w:eastAsia="Arial" w:cs="Times New Roman"/>
          <w:color w:val="000000"/>
        </w:rPr>
        <w:t>, 2019),</w:t>
      </w:r>
      <w:r>
        <w:rPr>
          <w:rFonts w:eastAsia="Arial" w:cs="Times New Roman"/>
          <w:color w:val="000000"/>
        </w:rPr>
        <w:t xml:space="preserve"> </w:t>
      </w:r>
      <w:r w:rsidRPr="00536382">
        <w:rPr>
          <w:rFonts w:eastAsia="Arial" w:cs="Times New Roman"/>
          <w:color w:val="000000"/>
        </w:rPr>
        <w:t>feels like a gut reaction to a growing politics of</w:t>
      </w:r>
      <w:r>
        <w:rPr>
          <w:rFonts w:eastAsia="Arial" w:cs="Times New Roman"/>
          <w:color w:val="000000"/>
        </w:rPr>
        <w:t xml:space="preserve"> </w:t>
      </w:r>
      <w:r w:rsidRPr="00536382">
        <w:rPr>
          <w:rFonts w:eastAsia="Arial" w:cs="Times New Roman"/>
          <w:color w:val="000000"/>
        </w:rPr>
        <w:t>fear and division. We no longer feel the need to</w:t>
      </w:r>
      <w:r>
        <w:rPr>
          <w:rFonts w:eastAsia="Arial" w:cs="Times New Roman"/>
          <w:color w:val="000000"/>
        </w:rPr>
        <w:t xml:space="preserve"> </w:t>
      </w:r>
      <w:r w:rsidRPr="00536382">
        <w:rPr>
          <w:rFonts w:eastAsia="Arial" w:cs="Times New Roman"/>
          <w:color w:val="000000"/>
        </w:rPr>
        <w:t>justify the importance of kindness at the outset of</w:t>
      </w:r>
      <w:r>
        <w:rPr>
          <w:rFonts w:eastAsia="Arial" w:cs="Times New Roman"/>
          <w:color w:val="000000"/>
        </w:rPr>
        <w:t xml:space="preserve"> </w:t>
      </w:r>
      <w:r w:rsidRPr="00536382">
        <w:rPr>
          <w:rFonts w:eastAsia="Arial" w:cs="Times New Roman"/>
          <w:color w:val="000000"/>
        </w:rPr>
        <w:t>every discussion, it can be taken as given.</w:t>
      </w:r>
      <w:r>
        <w:rPr>
          <w:rFonts w:eastAsia="Arial" w:cs="Times New Roman"/>
          <w:color w:val="000000"/>
        </w:rPr>
        <w:t xml:space="preserve"> </w:t>
      </w:r>
      <w:r w:rsidRPr="00536382">
        <w:rPr>
          <w:rFonts w:cs="Times New Roman"/>
        </w:rPr>
        <w:t>However, we have found that while the notion of</w:t>
      </w:r>
      <w:r>
        <w:rPr>
          <w:rFonts w:eastAsia="Arial" w:cs="Times New Roman"/>
          <w:color w:val="000000"/>
        </w:rPr>
        <w:t xml:space="preserve"> </w:t>
      </w:r>
      <w:r w:rsidRPr="00536382">
        <w:rPr>
          <w:rFonts w:cs="Times New Roman"/>
        </w:rPr>
        <w:t>kindness is becoming accepted, there is still much</w:t>
      </w:r>
      <w:r>
        <w:rPr>
          <w:rFonts w:cs="Times New Roman"/>
        </w:rPr>
        <w:t xml:space="preserve"> </w:t>
      </w:r>
      <w:r w:rsidRPr="00536382">
        <w:rPr>
          <w:rFonts w:cs="Times New Roman"/>
        </w:rPr>
        <w:t>to do to understand what needs to be done to</w:t>
      </w:r>
      <w:r>
        <w:rPr>
          <w:rFonts w:eastAsia="Arial" w:cs="Times New Roman"/>
          <w:color w:val="000000"/>
        </w:rPr>
        <w:t xml:space="preserve"> </w:t>
      </w:r>
      <w:r w:rsidRPr="00536382">
        <w:rPr>
          <w:rFonts w:cs="Times New Roman"/>
        </w:rPr>
        <w:t>make kindness more commonly part of people’s</w:t>
      </w:r>
      <w:r>
        <w:rPr>
          <w:rFonts w:eastAsia="Arial" w:cs="Times New Roman"/>
          <w:color w:val="000000"/>
        </w:rPr>
        <w:t xml:space="preserve"> </w:t>
      </w:r>
      <w:r w:rsidRPr="00536382">
        <w:rPr>
          <w:rFonts w:cs="Times New Roman"/>
        </w:rPr>
        <w:t>experiences in communities and in their relationships</w:t>
      </w:r>
      <w:r>
        <w:rPr>
          <w:rFonts w:eastAsia="Arial" w:cs="Times New Roman"/>
          <w:color w:val="000000"/>
        </w:rPr>
        <w:t xml:space="preserve"> </w:t>
      </w:r>
      <w:r w:rsidRPr="00536382">
        <w:rPr>
          <w:rFonts w:cs="Times New Roman"/>
        </w:rPr>
        <w:t xml:space="preserve">with organisations and institutions. </w:t>
      </w:r>
    </w:p>
    <w:p w:rsidR="00536382" w:rsidRPr="00536382" w:rsidRDefault="00536382" w:rsidP="00536382">
      <w:pPr>
        <w:rPr>
          <w:rFonts w:cs="Times New Roman"/>
        </w:rPr>
      </w:pPr>
    </w:p>
    <w:p w:rsidR="00E50A19" w:rsidRDefault="00E50A19" w:rsidP="00E50A19">
      <w:pPr>
        <w:jc w:val="center"/>
        <w:rPr>
          <w:rFonts w:ascii="Helvetica" w:hAnsi="Helvetica" w:cs="Helvetica"/>
          <w:sz w:val="18"/>
          <w:szCs w:val="18"/>
        </w:rPr>
      </w:pPr>
    </w:p>
    <w:p w:rsidR="00E50A19" w:rsidRPr="00CB131A" w:rsidRDefault="00E50A19" w:rsidP="00E50A19">
      <w:pPr>
        <w:jc w:val="center"/>
        <w:rPr>
          <w:rFonts w:eastAsia="Arial" w:cs="Times New Roman"/>
          <w:b/>
          <w:sz w:val="32"/>
          <w:szCs w:val="32"/>
        </w:rPr>
      </w:pPr>
      <w:r w:rsidRPr="00BB5D46">
        <w:rPr>
          <w:rFonts w:eastAsia="Arial" w:cs="Times New Roman"/>
          <w:b/>
          <w:sz w:val="32"/>
          <w:szCs w:val="32"/>
        </w:rPr>
        <w:t>Media news</w:t>
      </w:r>
    </w:p>
    <w:p w:rsidR="00E50A19" w:rsidRPr="00CB131A" w:rsidRDefault="00E50A19" w:rsidP="00E50A19">
      <w:pPr>
        <w:jc w:val="center"/>
        <w:rPr>
          <w:rFonts w:eastAsia="Arial" w:cs="Times New Roman"/>
          <w:i/>
        </w:rPr>
      </w:pPr>
      <w:r w:rsidRPr="00CB131A">
        <w:rPr>
          <w:rFonts w:eastAsia="Arial" w:cs="Times New Roman"/>
          <w:i/>
        </w:rPr>
        <w:t>Tanika Roberts [</w:t>
      </w:r>
      <w:hyperlink r:id="rId221" w:history="1">
        <w:r w:rsidRPr="00CB131A">
          <w:rPr>
            <w:rStyle w:val="Hyperlink"/>
            <w:rFonts w:eastAsia="Arial" w:cs="Times New Roman"/>
            <w:i/>
          </w:rPr>
          <w:t>trobe@deakin.edu.au</w:t>
        </w:r>
      </w:hyperlink>
      <w:r w:rsidRPr="00CB131A">
        <w:rPr>
          <w:rFonts w:eastAsia="Arial" w:cs="Times New Roman"/>
          <w:i/>
        </w:rPr>
        <w:t>]</w:t>
      </w:r>
    </w:p>
    <w:p w:rsidR="00E50A19" w:rsidRPr="00CB131A" w:rsidRDefault="00E50A19" w:rsidP="00E50A19">
      <w:pPr>
        <w:jc w:val="center"/>
        <w:rPr>
          <w:rFonts w:eastAsia="Arial" w:cs="Times New Roman"/>
          <w:i/>
        </w:rPr>
      </w:pPr>
      <w:r w:rsidRPr="00CB131A">
        <w:rPr>
          <w:rFonts w:eastAsia="Arial" w:cs="Times New Roman"/>
          <w:i/>
        </w:rPr>
        <w:t>Executive Volunteer, Bulletin Co-Editor– Media</w:t>
      </w:r>
    </w:p>
    <w:p w:rsidR="00E50A19" w:rsidRDefault="00E50A19" w:rsidP="00E50A19">
      <w:pPr>
        <w:rPr>
          <w:rFonts w:eastAsia="Arial" w:cs="Times New Roman"/>
          <w:sz w:val="28"/>
          <w:szCs w:val="28"/>
        </w:rPr>
      </w:pPr>
    </w:p>
    <w:p w:rsidR="007F4A32" w:rsidRPr="007F4A32" w:rsidRDefault="007F4A32" w:rsidP="007F4A32">
      <w:pPr>
        <w:rPr>
          <w:rFonts w:eastAsia="Times New Roman" w:cs="Times New Roman"/>
          <w:i/>
          <w:lang w:eastAsia="en-AU"/>
        </w:rPr>
      </w:pPr>
      <w:r w:rsidRPr="007F4A32">
        <w:rPr>
          <w:rFonts w:eastAsia="Times New Roman" w:cs="Times New Roman"/>
          <w:i/>
          <w:shd w:val="clear" w:color="auto" w:fill="FFFFFF"/>
          <w:lang w:eastAsia="en-AU"/>
        </w:rPr>
        <w:t>Study Finally Shows How Disruptive Period Pain Really Is, And We Need to Talk About It</w:t>
      </w:r>
    </w:p>
    <w:p w:rsidR="007F4A32" w:rsidRPr="007F4A32" w:rsidRDefault="007F4A32" w:rsidP="007F4A32">
      <w:pPr>
        <w:shd w:val="clear" w:color="auto" w:fill="FFFFFF"/>
        <w:jc w:val="center"/>
        <w:rPr>
          <w:rFonts w:eastAsia="Calibri" w:cs="Times New Roman"/>
          <w:lang w:eastAsia="en-AU"/>
        </w:rPr>
      </w:pPr>
      <w:r w:rsidRPr="007F4A32">
        <w:rPr>
          <w:rFonts w:eastAsia="Calibri" w:cs="Times New Roman"/>
          <w:lang w:eastAsia="en-AU"/>
        </w:rPr>
        <w:t>MIKE ARMOUR, CHRISTINA CURRY &amp; FREYA MACMILLAN</w:t>
      </w:r>
    </w:p>
    <w:p w:rsidR="007F4A32" w:rsidRDefault="00DF3874" w:rsidP="007F4A32">
      <w:pPr>
        <w:shd w:val="clear" w:color="auto" w:fill="FFFFFF"/>
        <w:rPr>
          <w:rFonts w:eastAsia="Calibri" w:cs="Times New Roman"/>
          <w:lang w:eastAsia="en-AU"/>
        </w:rPr>
      </w:pPr>
      <w:hyperlink r:id="rId222" w:history="1">
        <w:r w:rsidR="007F4A32" w:rsidRPr="007F4A32">
          <w:rPr>
            <w:rFonts w:eastAsia="Calibri" w:cs="Times New Roman"/>
            <w:color w:val="0000FF"/>
            <w:u w:val="single"/>
            <w:lang w:eastAsia="en-AU"/>
          </w:rPr>
          <w:t>https://www.sciencealert.com/period-pain-is-probably-causing-days-of-lost-productivity-each-year</w:t>
        </w:r>
      </w:hyperlink>
    </w:p>
    <w:p w:rsidR="007F4A32" w:rsidRPr="007F4A32" w:rsidRDefault="007F4A32" w:rsidP="007F4A32">
      <w:pPr>
        <w:shd w:val="clear" w:color="auto" w:fill="FFFFFF"/>
        <w:rPr>
          <w:rFonts w:eastAsia="Calibri" w:cs="Times New Roman"/>
          <w:lang w:eastAsia="en-AU"/>
        </w:rPr>
      </w:pPr>
    </w:p>
    <w:p w:rsidR="007F4A32" w:rsidRPr="007F4A32" w:rsidRDefault="007F4A32" w:rsidP="007F4A32">
      <w:pPr>
        <w:rPr>
          <w:rFonts w:eastAsia="Calibri" w:cs="Times New Roman"/>
          <w:lang w:eastAsia="en-AU"/>
        </w:rPr>
      </w:pPr>
      <w:r w:rsidRPr="007F4A32">
        <w:rPr>
          <w:rFonts w:eastAsia="Calibri" w:cs="Times New Roman"/>
          <w:shd w:val="clear" w:color="auto" w:fill="FFFFFF"/>
          <w:lang w:eastAsia="en-AU"/>
        </w:rPr>
        <w:t>Menstrual symptoms may be linked to nearly nine days of lost productivity per woman every year. We recently </w:t>
      </w:r>
      <w:r w:rsidRPr="007F4A32">
        <w:rPr>
          <w:rFonts w:eastAsia="Calibri" w:cs="Times New Roman"/>
          <w:lang w:eastAsia="en-AU"/>
        </w:rPr>
        <w:t xml:space="preserve">reviewed the literature and found that globally, almost three-quarters (71%) of adolescents and women under 25 reported having period pain. </w:t>
      </w:r>
      <w:r w:rsidRPr="007F4A32">
        <w:rPr>
          <w:rFonts w:eastAsia="Calibri" w:cs="Times New Roman"/>
          <w:shd w:val="clear" w:color="auto" w:fill="FFFFFF"/>
          <w:lang w:eastAsia="en-AU"/>
        </w:rPr>
        <w:t>Period pain can be mild for some women, but more severe, and even debilitating, for others. In </w:t>
      </w:r>
      <w:r w:rsidRPr="007F4A32">
        <w:rPr>
          <w:rFonts w:eastAsia="Calibri" w:cs="Times New Roman"/>
          <w:lang w:eastAsia="en-AU"/>
        </w:rPr>
        <w:t>our research, one in five young women (20%) reported missing school or university due to period pain. Two in five (41%) said pain affected their concentration or performance in class. Many women think of period pain and other menstrual symptoms as "normal". They don't always recognise that their pain may be a health problem, and often believe it's just something they need to "put up with".</w:t>
      </w:r>
      <w:r w:rsidRPr="007F4A32">
        <w:rPr>
          <w:rFonts w:eastAsia="Calibri" w:cs="Times New Roman"/>
          <w:shd w:val="clear" w:color="auto" w:fill="FFFFFF"/>
          <w:lang w:eastAsia="en-AU"/>
        </w:rPr>
        <w:t xml:space="preserve"> Whether at school, university or in the workplace, menstrual symptoms cause absenteeism and </w:t>
      </w:r>
      <w:proofErr w:type="spellStart"/>
      <w:r w:rsidRPr="007F4A32">
        <w:rPr>
          <w:rFonts w:eastAsia="Calibri" w:cs="Times New Roman"/>
          <w:shd w:val="clear" w:color="auto" w:fill="FFFFFF"/>
          <w:lang w:eastAsia="en-AU"/>
        </w:rPr>
        <w:t>presenteeism</w:t>
      </w:r>
      <w:proofErr w:type="spellEnd"/>
      <w:r w:rsidRPr="007F4A32">
        <w:rPr>
          <w:rFonts w:eastAsia="Calibri" w:cs="Times New Roman"/>
          <w:shd w:val="clear" w:color="auto" w:fill="FFFFFF"/>
          <w:lang w:eastAsia="en-AU"/>
        </w:rPr>
        <w:t xml:space="preserve"> among a significant proportion of women. We need to break down barriers that prevent open discussion of periods, so women of all ages feel they can discuss any period-related problems with their boss, teachers, family or doctor.</w:t>
      </w:r>
    </w:p>
    <w:p w:rsidR="00E50A19" w:rsidRPr="00BB5D46" w:rsidRDefault="00E50A19" w:rsidP="00E50A19">
      <w:pPr>
        <w:rPr>
          <w:rFonts w:eastAsia="Calibri" w:cs="Times New Roman"/>
          <w:i/>
          <w:szCs w:val="22"/>
          <w:u w:val="single"/>
        </w:rPr>
      </w:pPr>
    </w:p>
    <w:p w:rsidR="00E50A19" w:rsidRDefault="00E50A19" w:rsidP="00E50A19">
      <w:pPr>
        <w:pStyle w:val="NormalWeb"/>
        <w:rPr>
          <w:rFonts w:ascii="Arial" w:hAnsi="Arial" w:cs="Arial"/>
          <w:b/>
          <w:color w:val="000000"/>
          <w:sz w:val="20"/>
          <w:szCs w:val="20"/>
        </w:rPr>
      </w:pPr>
      <w:r>
        <w:rPr>
          <w:rFonts w:ascii="Arial" w:hAnsi="Arial" w:cs="Arial"/>
          <w:b/>
          <w:color w:val="000000"/>
          <w:sz w:val="20"/>
          <w:szCs w:val="20"/>
        </w:rPr>
        <w:t>-----------------------</w:t>
      </w:r>
    </w:p>
    <w:p w:rsidR="00E50A19" w:rsidRPr="002C296F" w:rsidRDefault="00E50A19" w:rsidP="00E50A19">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fldChar w:fldCharType="begin"/>
      </w:r>
      <w:r w:rsidRPr="00066A2B">
        <w:rPr>
          <w:rFonts w:eastAsia="Arial" w:cs="Times New Roman"/>
          <w:sz w:val="20"/>
          <w:szCs w:val="20"/>
          <w:lang w:val="en-US"/>
        </w:rPr>
        <w:instrText xml:space="preserve"> ADDIN EN.REFLIST </w:instrText>
      </w:r>
      <w:r w:rsidRPr="00066A2B">
        <w:rPr>
          <w:rFonts w:eastAsia="Arial" w:cs="Times New Roman"/>
          <w:sz w:val="20"/>
          <w:szCs w:val="20"/>
          <w:lang w:val="en-US"/>
        </w:rPr>
        <w:fldChar w:fldCharType="separate"/>
      </w:r>
      <w:r w:rsidRPr="00066A2B">
        <w:rPr>
          <w:rFonts w:eastAsia="Arial" w:cs="Times New Roman"/>
          <w:sz w:val="20"/>
          <w:szCs w:val="20"/>
          <w:lang w:val="en-US"/>
        </w:rPr>
        <w:t xml:space="preserve">Anderson, K. J., Revelle, W., &amp; Lynch, M. J. (1989). Caffeine, impulsivity, and memory scanning: A comparison of two explanations for the Yerkes-Dodson Effect. </w:t>
      </w:r>
      <w:r w:rsidRPr="00066A2B">
        <w:rPr>
          <w:rFonts w:eastAsia="Arial" w:cs="Times New Roman"/>
          <w:i/>
          <w:sz w:val="20"/>
          <w:szCs w:val="20"/>
          <w:lang w:val="en-US"/>
        </w:rPr>
        <w:t>Motivation and Emotion, 13</w:t>
      </w:r>
      <w:r w:rsidRPr="00066A2B">
        <w:rPr>
          <w:rFonts w:eastAsia="Arial" w:cs="Times New Roman"/>
          <w:sz w:val="20"/>
          <w:szCs w:val="20"/>
          <w:lang w:val="en-US"/>
        </w:rPr>
        <w:t xml:space="preserve">(1), 1-20. </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Bienertová-Vašků, J., Zlámal, F., Nečesánek, I., Konečný, D., &amp; Vasku, A. (2016). Calculating Stress: From Entropy to a Thermodynamic Concept of Health and Disease. </w:t>
      </w:r>
      <w:r w:rsidRPr="00066A2B">
        <w:rPr>
          <w:rFonts w:eastAsia="Arial" w:cs="Times New Roman"/>
          <w:i/>
          <w:sz w:val="20"/>
          <w:szCs w:val="20"/>
          <w:lang w:val="en-US"/>
        </w:rPr>
        <w:t>PloS one, 11</w:t>
      </w:r>
      <w:r w:rsidRPr="00066A2B">
        <w:rPr>
          <w:rFonts w:eastAsia="Arial" w:cs="Times New Roman"/>
          <w:sz w:val="20"/>
          <w:szCs w:val="20"/>
          <w:lang w:val="en-US"/>
        </w:rPr>
        <w:t>(1), e0146667. doi:10.1371/journal.pone.0146667</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Cannon, W. B. (1932). </w:t>
      </w:r>
      <w:r w:rsidRPr="00066A2B">
        <w:rPr>
          <w:rFonts w:eastAsia="Arial" w:cs="Times New Roman"/>
          <w:i/>
          <w:sz w:val="20"/>
          <w:szCs w:val="20"/>
          <w:lang w:val="en-US"/>
        </w:rPr>
        <w:t>The wisdom of the body</w:t>
      </w:r>
      <w:r w:rsidRPr="00066A2B">
        <w:rPr>
          <w:rFonts w:eastAsia="Arial" w:cs="Times New Roman"/>
          <w:sz w:val="20"/>
          <w:szCs w:val="20"/>
          <w:lang w:val="en-US"/>
        </w:rPr>
        <w:t>. New York NY: Norton.</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Capic, T., Li, N., &amp; Cummins, R. A. (2018b). Confirmation of Subjective Wellbeing Set-points: Foundational for Subjective Social Indicators. </w:t>
      </w:r>
      <w:r w:rsidRPr="00066A2B">
        <w:rPr>
          <w:rFonts w:eastAsia="Arial" w:cs="Times New Roman"/>
          <w:i/>
          <w:sz w:val="20"/>
          <w:szCs w:val="20"/>
          <w:lang w:val="en-US"/>
        </w:rPr>
        <w:t>Social Indicators Research, 137</w:t>
      </w:r>
      <w:r w:rsidRPr="00066A2B">
        <w:rPr>
          <w:rFonts w:eastAsia="Arial" w:cs="Times New Roman"/>
          <w:sz w:val="20"/>
          <w:szCs w:val="20"/>
          <w:lang w:val="en-US"/>
        </w:rPr>
        <w:t xml:space="preserve">(1), 1-28. Retrieved from 10.1007/s11205-017-1585-5. </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Chida, Y., &amp; Steptoe, A. (2009). Cortisol awakening response and psychosocial factors: a systematic review and meta-analysis. </w:t>
      </w:r>
      <w:r w:rsidRPr="00066A2B">
        <w:rPr>
          <w:rFonts w:eastAsia="Arial" w:cs="Times New Roman"/>
          <w:i/>
          <w:sz w:val="20"/>
          <w:szCs w:val="20"/>
          <w:lang w:val="en-US"/>
        </w:rPr>
        <w:t>Biological psychology, 80</w:t>
      </w:r>
      <w:r w:rsidRPr="00066A2B">
        <w:rPr>
          <w:rFonts w:eastAsia="Arial" w:cs="Times New Roman"/>
          <w:sz w:val="20"/>
          <w:szCs w:val="20"/>
          <w:lang w:val="en-US"/>
        </w:rPr>
        <w:t xml:space="preserve">(3), 265-278. </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Cummins, R. A. (2018). The Golden Triangle of Happiness: Essential resources for a happy family. </w:t>
      </w:r>
      <w:r w:rsidRPr="00066A2B">
        <w:rPr>
          <w:rFonts w:eastAsia="Arial" w:cs="Times New Roman"/>
          <w:i/>
          <w:sz w:val="20"/>
          <w:szCs w:val="20"/>
          <w:lang w:val="en-US"/>
        </w:rPr>
        <w:t>International Journal of Child, Youth &amp; Family Studies, 9</w:t>
      </w:r>
      <w:r w:rsidRPr="00066A2B">
        <w:rPr>
          <w:rFonts w:eastAsia="Arial" w:cs="Times New Roman"/>
          <w:sz w:val="20"/>
          <w:szCs w:val="20"/>
          <w:lang w:val="en-US"/>
        </w:rPr>
        <w:t xml:space="preserve">(4), 12–39. </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McEwen, B. S. (1998). Stress, adaptation, and disease: Allostasis and allostatic load. </w:t>
      </w:r>
      <w:r w:rsidRPr="00066A2B">
        <w:rPr>
          <w:rFonts w:eastAsia="Arial" w:cs="Times New Roman"/>
          <w:i/>
          <w:sz w:val="20"/>
          <w:szCs w:val="20"/>
          <w:lang w:val="en-US"/>
        </w:rPr>
        <w:t>Annals of the New York Academy of Sciences, 840</w:t>
      </w:r>
      <w:r w:rsidRPr="00066A2B">
        <w:rPr>
          <w:rFonts w:eastAsia="Arial" w:cs="Times New Roman"/>
          <w:sz w:val="20"/>
          <w:szCs w:val="20"/>
          <w:lang w:val="en-US"/>
        </w:rPr>
        <w:t xml:space="preserve">(1), 33-44. </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McEwen, B. S., &amp; Wingfield, J. C. (2003). The concept of allostasis in biology and biomedicine. </w:t>
      </w:r>
      <w:r w:rsidRPr="00066A2B">
        <w:rPr>
          <w:rFonts w:eastAsia="Arial" w:cs="Times New Roman"/>
          <w:i/>
          <w:sz w:val="20"/>
          <w:szCs w:val="20"/>
          <w:lang w:val="en-US"/>
        </w:rPr>
        <w:t>Hormones and behavior, 43</w:t>
      </w:r>
      <w:r w:rsidRPr="00066A2B">
        <w:rPr>
          <w:rFonts w:eastAsia="Arial" w:cs="Times New Roman"/>
          <w:sz w:val="20"/>
          <w:szCs w:val="20"/>
          <w:lang w:val="en-US"/>
        </w:rPr>
        <w:t xml:space="preserve">(1), 2-15. </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Sapolsky, R. M. (1994). </w:t>
      </w:r>
      <w:r w:rsidRPr="00066A2B">
        <w:rPr>
          <w:rFonts w:eastAsia="Arial" w:cs="Times New Roman"/>
          <w:i/>
          <w:sz w:val="20"/>
          <w:szCs w:val="20"/>
          <w:lang w:val="en-US"/>
        </w:rPr>
        <w:t>Why zebras don't get ulcers: A guide to stress, stress-related diseases, and coping</w:t>
      </w:r>
      <w:r w:rsidRPr="00066A2B">
        <w:rPr>
          <w:rFonts w:eastAsia="Arial" w:cs="Times New Roman"/>
          <w:sz w:val="20"/>
          <w:szCs w:val="20"/>
          <w:lang w:val="en-US"/>
        </w:rPr>
        <w:t>. New York: W. H. Freeman.</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Schulkin, J. (2011). Social allostasis: anticipatory regulation of the internal milieu. </w:t>
      </w:r>
      <w:r w:rsidRPr="00066A2B">
        <w:rPr>
          <w:rFonts w:eastAsia="Arial" w:cs="Times New Roman"/>
          <w:i/>
          <w:sz w:val="20"/>
          <w:szCs w:val="20"/>
          <w:lang w:val="en-US"/>
        </w:rPr>
        <w:t>Frontiers in evolutionary neuroscience, 2</w:t>
      </w:r>
      <w:r w:rsidRPr="00066A2B">
        <w:rPr>
          <w:rFonts w:eastAsia="Arial" w:cs="Times New Roman"/>
          <w:sz w:val="20"/>
          <w:szCs w:val="20"/>
          <w:lang w:val="en-US"/>
        </w:rPr>
        <w:t>(Article 111), 1-15. doi:10.3389/fnevo.2010.00111</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Sterling, P., &amp; Eyer, J. (1988). Allostasis: A New Paradigm to Explain Arousal Pathology. Handbook of Life Stress. In S. Fisher &amp; J. Reason (Eds.), </w:t>
      </w:r>
      <w:r w:rsidRPr="00066A2B">
        <w:rPr>
          <w:rFonts w:eastAsia="Arial" w:cs="Times New Roman"/>
          <w:i/>
          <w:sz w:val="20"/>
          <w:szCs w:val="20"/>
          <w:lang w:val="en-US"/>
        </w:rPr>
        <w:t>Cognition and Health</w:t>
      </w:r>
      <w:r w:rsidRPr="00066A2B">
        <w:rPr>
          <w:rFonts w:eastAsia="Arial" w:cs="Times New Roman"/>
          <w:sz w:val="20"/>
          <w:szCs w:val="20"/>
          <w:lang w:val="en-US"/>
        </w:rPr>
        <w:t xml:space="preserve"> (pp. 629-649). New York: John Wiley &amp; Sons.</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Tomyn, A. J., Weinberg, M. K., &amp; Cummins, R. A. (2015). Intervention efficacy among ‘at risk’ adolescents: A test of Subjective Wellbeing Homeostasis Theory. </w:t>
      </w:r>
      <w:r w:rsidRPr="00066A2B">
        <w:rPr>
          <w:rFonts w:eastAsia="Arial" w:cs="Times New Roman"/>
          <w:i/>
          <w:sz w:val="20"/>
          <w:szCs w:val="20"/>
          <w:lang w:val="en-US"/>
        </w:rPr>
        <w:t>Social Indicators Research, 120</w:t>
      </w:r>
      <w:r w:rsidRPr="00066A2B">
        <w:rPr>
          <w:rFonts w:eastAsia="Arial" w:cs="Times New Roman"/>
          <w:sz w:val="20"/>
          <w:szCs w:val="20"/>
          <w:lang w:val="en-US"/>
        </w:rPr>
        <w:t>(3), 883-895. doi:10.1007/s11205-014-0619-5</w:t>
      </w:r>
    </w:p>
    <w:p w:rsidR="00066A2B" w:rsidRDefault="00066A2B" w:rsidP="00066A2B">
      <w:pPr>
        <w:rPr>
          <w:rFonts w:eastAsia="Arial" w:cs="Times New Roman"/>
          <w:sz w:val="20"/>
          <w:szCs w:val="20"/>
          <w:lang w:val="en-US"/>
        </w:rPr>
      </w:pPr>
    </w:p>
    <w:p w:rsidR="00066A2B" w:rsidRPr="00066A2B" w:rsidRDefault="00066A2B" w:rsidP="00066A2B">
      <w:pPr>
        <w:rPr>
          <w:rFonts w:eastAsia="Arial" w:cs="Times New Roman"/>
          <w:sz w:val="20"/>
          <w:szCs w:val="20"/>
          <w:lang w:val="en-US"/>
        </w:rPr>
      </w:pPr>
      <w:r w:rsidRPr="00066A2B">
        <w:rPr>
          <w:rFonts w:eastAsia="Arial" w:cs="Times New Roman"/>
          <w:sz w:val="20"/>
          <w:szCs w:val="20"/>
          <w:lang w:val="en-US"/>
        </w:rPr>
        <w:t xml:space="preserve">Yerkes, R. M., &amp; Dodson, J. D. (1908). The relation of strength of stimulus to rapidity of habit-formation. </w:t>
      </w:r>
      <w:r w:rsidRPr="00066A2B">
        <w:rPr>
          <w:rFonts w:eastAsia="Arial" w:cs="Times New Roman"/>
          <w:i/>
          <w:sz w:val="20"/>
          <w:szCs w:val="20"/>
          <w:lang w:val="en-US"/>
        </w:rPr>
        <w:t>Journal of Comparative Neurology and Psychology, 18</w:t>
      </w:r>
      <w:r w:rsidRPr="00066A2B">
        <w:rPr>
          <w:rFonts w:eastAsia="Arial" w:cs="Times New Roman"/>
          <w:sz w:val="20"/>
          <w:szCs w:val="20"/>
          <w:lang w:val="en-US"/>
        </w:rPr>
        <w:t>(5), 459–482. doi:10.1002/cne.920180503</w:t>
      </w:r>
    </w:p>
    <w:p w:rsidR="00066A2B" w:rsidRDefault="00066A2B" w:rsidP="000A4FA9">
      <w:pPr>
        <w:rPr>
          <w:rFonts w:eastAsia="Arial" w:cs="Times New Roman"/>
          <w:sz w:val="20"/>
          <w:szCs w:val="20"/>
        </w:rPr>
      </w:pPr>
      <w:r w:rsidRPr="00066A2B">
        <w:rPr>
          <w:rFonts w:eastAsia="Arial" w:cs="Times New Roman"/>
          <w:sz w:val="20"/>
          <w:szCs w:val="20"/>
        </w:rPr>
        <w:fldChar w:fldCharType="end"/>
      </w:r>
    </w:p>
    <w:p w:rsidR="00066A2B" w:rsidRPr="000A4FA9" w:rsidRDefault="00066A2B" w:rsidP="000A4FA9">
      <w:pPr>
        <w:rPr>
          <w:rFonts w:eastAsia="Arial" w:cs="Times New Roman"/>
          <w:sz w:val="20"/>
          <w:szCs w:val="20"/>
        </w:rPr>
      </w:pPr>
    </w:p>
    <w:p w:rsidR="00CA4A49" w:rsidRPr="00BB5D46" w:rsidRDefault="00CA4A49" w:rsidP="00CA4A49">
      <w:pPr>
        <w:rPr>
          <w:rFonts w:eastAsia="Arial" w:cs="Times New Roman"/>
          <w:b/>
          <w:sz w:val="28"/>
          <w:szCs w:val="28"/>
        </w:rPr>
      </w:pPr>
      <w:proofErr w:type="spellStart"/>
      <w:r w:rsidRPr="00A67332">
        <w:rPr>
          <w:rFonts w:eastAsia="Arial" w:cs="Times New Roman"/>
          <w:b/>
          <w:sz w:val="28"/>
          <w:szCs w:val="28"/>
          <w:highlight w:val="green"/>
        </w:rPr>
        <w:t>ACQol</w:t>
      </w:r>
      <w:proofErr w:type="spellEnd"/>
      <w:r w:rsidRPr="00A67332">
        <w:rPr>
          <w:rFonts w:eastAsia="Arial" w:cs="Times New Roman"/>
          <w:b/>
          <w:sz w:val="28"/>
          <w:szCs w:val="28"/>
          <w:highlight w:val="green"/>
        </w:rPr>
        <w:t xml:space="preserve"> Bulletin Vol 3/</w:t>
      </w:r>
      <w:r w:rsidR="00E50A19" w:rsidRPr="00A67332">
        <w:rPr>
          <w:rFonts w:eastAsia="Arial" w:cs="Times New Roman"/>
          <w:b/>
          <w:sz w:val="28"/>
          <w:szCs w:val="28"/>
          <w:highlight w:val="green"/>
        </w:rPr>
        <w:t>27</w:t>
      </w:r>
      <w:r w:rsidRPr="00A67332">
        <w:rPr>
          <w:rFonts w:eastAsia="Arial" w:cs="Times New Roman"/>
          <w:b/>
          <w:sz w:val="28"/>
          <w:szCs w:val="28"/>
          <w:highlight w:val="green"/>
        </w:rPr>
        <w:t xml:space="preserve">: </w:t>
      </w:r>
      <w:r w:rsidR="00E50A19" w:rsidRPr="00A67332">
        <w:rPr>
          <w:rFonts w:eastAsia="Arial" w:cs="Times New Roman"/>
          <w:b/>
          <w:sz w:val="28"/>
          <w:szCs w:val="28"/>
          <w:highlight w:val="green"/>
        </w:rPr>
        <w:t>040719</w:t>
      </w:r>
    </w:p>
    <w:p w:rsidR="00CA4A49" w:rsidRPr="00BB5D46" w:rsidRDefault="00CA4A49" w:rsidP="00CA4A49">
      <w:pPr>
        <w:rPr>
          <w:rFonts w:eastAsia="Arial" w:cs="Times New Roman"/>
          <w:b/>
          <w:sz w:val="28"/>
          <w:szCs w:val="28"/>
        </w:rPr>
      </w:pPr>
      <w:r w:rsidRPr="00BB5D46">
        <w:rPr>
          <w:rFonts w:eastAsia="Arial" w:cs="Times New Roman"/>
          <w:b/>
          <w:sz w:val="28"/>
          <w:szCs w:val="28"/>
        </w:rPr>
        <w:t>Bulletin of the Australian Centre on Quality of Life</w:t>
      </w:r>
    </w:p>
    <w:p w:rsidR="00CA4A49" w:rsidRPr="00BB5D46" w:rsidRDefault="00DF3874" w:rsidP="00CA4A49">
      <w:pPr>
        <w:rPr>
          <w:rFonts w:eastAsia="Arial" w:cs="Times New Roman"/>
        </w:rPr>
      </w:pPr>
      <w:hyperlink r:id="rId223" w:history="1">
        <w:r w:rsidR="00CA4A49" w:rsidRPr="00BB5D46">
          <w:rPr>
            <w:rFonts w:eastAsia="Arial" w:cs="Times New Roman"/>
            <w:color w:val="0563C1"/>
            <w:u w:val="single"/>
          </w:rPr>
          <w:t>http://www.acqol.com.au/</w:t>
        </w:r>
      </w:hyperlink>
    </w:p>
    <w:p w:rsidR="00CA4A49" w:rsidRPr="00AE19B8" w:rsidRDefault="00CA4A49" w:rsidP="00CA4A49">
      <w:pPr>
        <w:rPr>
          <w:rFonts w:eastAsia="Arial" w:cs="Times New Roman"/>
        </w:rPr>
      </w:pPr>
      <w:r w:rsidRPr="00BB5D46">
        <w:rPr>
          <w:rFonts w:eastAsia="Arial" w:cs="Times New Roman"/>
        </w:rPr>
        <w:t xml:space="preserve">Editor: Robert A. Cummins </w:t>
      </w:r>
      <w:r w:rsidRPr="00BB5D46">
        <w:rPr>
          <w:rFonts w:eastAsia="Arial" w:cs="Times New Roman"/>
          <w:sz w:val="22"/>
          <w:szCs w:val="22"/>
        </w:rPr>
        <w:t>[</w:t>
      </w:r>
      <w:r w:rsidRPr="00BB5D46">
        <w:rPr>
          <w:rFonts w:eastAsia="Arial" w:cs="Times New Roman"/>
          <w:i/>
          <w:sz w:val="22"/>
          <w:szCs w:val="22"/>
        </w:rPr>
        <w:t>robert.cummins@deakin.edu.au</w:t>
      </w:r>
      <w:r w:rsidRPr="00BB5D46">
        <w:rPr>
          <w:rFonts w:eastAsia="Arial" w:cs="Times New Roman"/>
          <w:sz w:val="22"/>
          <w:szCs w:val="22"/>
        </w:rPr>
        <w:t>]</w:t>
      </w:r>
    </w:p>
    <w:p w:rsidR="00CA4A49" w:rsidRPr="00BB5D46" w:rsidRDefault="00CA4A49" w:rsidP="00CA4A49">
      <w:pPr>
        <w:rPr>
          <w:rFonts w:eastAsia="Arial" w:cs="Times New Roman"/>
          <w:b/>
        </w:rPr>
      </w:pPr>
      <w:r w:rsidRPr="00BB5D46">
        <w:rPr>
          <w:rFonts w:eastAsia="Arial" w:cs="Times New Roman"/>
          <w:b/>
        </w:rPr>
        <w:t xml:space="preserve">Back-issues of the Bulletin are available at </w:t>
      </w:r>
      <w:hyperlink r:id="rId224" w:anchor="bulletins" w:history="1">
        <w:r w:rsidRPr="00BB5D46">
          <w:rPr>
            <w:rFonts w:eastAsia="Arial" w:cs="Times New Roman"/>
            <w:color w:val="0563C1"/>
            <w:u w:val="single"/>
          </w:rPr>
          <w:t>http://www.acqol.com.au/projects#bulletins</w:t>
        </w:r>
      </w:hyperlink>
    </w:p>
    <w:p w:rsidR="00CA4A49" w:rsidRPr="00BB5D46" w:rsidRDefault="00CA4A49" w:rsidP="00CA4A49">
      <w:pPr>
        <w:rPr>
          <w:rFonts w:eastAsia="Arial" w:cs="Times New Roman"/>
          <w:color w:val="0563C1"/>
          <w:u w:val="single"/>
        </w:rPr>
      </w:pPr>
    </w:p>
    <w:p w:rsidR="00CA4A49" w:rsidRPr="00BB5D46" w:rsidRDefault="00CA4A49" w:rsidP="00CA4A49">
      <w:pPr>
        <w:rPr>
          <w:rFonts w:eastAsia="Arial" w:cs="Times New Roman"/>
        </w:rPr>
      </w:pPr>
      <w:r w:rsidRPr="00BB5D46">
        <w:rPr>
          <w:rFonts w:eastAsia="Arial" w:cs="Times New Roman"/>
          <w:b/>
        </w:rPr>
        <w:t xml:space="preserve">Note 1: </w:t>
      </w:r>
      <w:r w:rsidRPr="00BB5D46">
        <w:rPr>
          <w:rFonts w:eastAsia="Arial" w:cs="Times New Roman"/>
        </w:rPr>
        <w:t xml:space="preserve">The </w:t>
      </w:r>
      <w:proofErr w:type="spellStart"/>
      <w:r w:rsidRPr="00BB5D46">
        <w:rPr>
          <w:rFonts w:eastAsia="Arial" w:cs="Times New Roman"/>
        </w:rPr>
        <w:t>ACQol</w:t>
      </w:r>
      <w:proofErr w:type="spellEnd"/>
      <w:r w:rsidRPr="00BB5D46">
        <w:rPr>
          <w:rFonts w:eastAsia="Arial" w:cs="Times New Roman"/>
        </w:rPr>
        <w:t xml:space="preserve"> site is under development and some content is missing.</w:t>
      </w:r>
    </w:p>
    <w:p w:rsidR="00CA4A49" w:rsidRDefault="00CA4A49" w:rsidP="00CA4A49">
      <w:pPr>
        <w:rPr>
          <w:rFonts w:eastAsia="Arial" w:cs="Times New Roman"/>
        </w:rPr>
      </w:pPr>
      <w:r w:rsidRPr="00BB5D46">
        <w:rPr>
          <w:rFonts w:eastAsia="Arial" w:cs="Times New Roman"/>
          <w:b/>
        </w:rPr>
        <w:t>Note 2</w:t>
      </w:r>
      <w:r w:rsidRPr="00BB5D46">
        <w:rPr>
          <w:rFonts w:eastAsia="Arial" w:cs="Times New Roman"/>
        </w:rPr>
        <w:t xml:space="preserve">: Please address any intended group correspondence to the editor only. </w:t>
      </w:r>
    </w:p>
    <w:p w:rsidR="00CA4A49" w:rsidRDefault="00CA4A49" w:rsidP="00CA4A49">
      <w:pPr>
        <w:rPr>
          <w:rFonts w:eastAsia="Arial" w:cs="Times New Roman"/>
        </w:rPr>
      </w:pPr>
    </w:p>
    <w:p w:rsidR="00CA4A49" w:rsidRPr="00BB5D46" w:rsidRDefault="00CA4A49" w:rsidP="00CA4A49">
      <w:pPr>
        <w:rPr>
          <w:rFonts w:eastAsia="Arial" w:cs="Times New Roman"/>
        </w:rPr>
      </w:pPr>
    </w:p>
    <w:p w:rsidR="00CA4A49" w:rsidRDefault="00A5733A" w:rsidP="00CA4A49">
      <w:pPr>
        <w:jc w:val="center"/>
        <w:rPr>
          <w:rFonts w:eastAsia="Arial" w:cs="Times New Roman"/>
          <w:b/>
          <w:sz w:val="32"/>
          <w:szCs w:val="32"/>
        </w:rPr>
      </w:pPr>
      <w:r>
        <w:rPr>
          <w:rFonts w:eastAsia="Arial" w:cs="Times New Roman"/>
          <w:b/>
          <w:sz w:val="32"/>
          <w:szCs w:val="32"/>
        </w:rPr>
        <w:t>A discussion of stress and homeostasis</w:t>
      </w:r>
    </w:p>
    <w:p w:rsidR="00A5733A" w:rsidRPr="00A5733A" w:rsidRDefault="00A5733A" w:rsidP="00CA4A49">
      <w:pPr>
        <w:jc w:val="center"/>
        <w:rPr>
          <w:rFonts w:eastAsia="Arial" w:cs="Times New Roman"/>
        </w:rPr>
      </w:pPr>
      <w:r>
        <w:rPr>
          <w:rFonts w:eastAsia="Arial" w:cs="Times New Roman"/>
        </w:rPr>
        <w:t>Robert A. Cummins</w:t>
      </w:r>
    </w:p>
    <w:p w:rsidR="00CA4A49" w:rsidRPr="00A5733A" w:rsidRDefault="00CA4A49" w:rsidP="00A5733A">
      <w:pPr>
        <w:rPr>
          <w:rFonts w:eastAsia="Arial" w:cs="Times New Roman"/>
        </w:rPr>
      </w:pPr>
    </w:p>
    <w:p w:rsidR="00A5733A" w:rsidRDefault="00A5733A" w:rsidP="00A5733A">
      <w:pPr>
        <w:rPr>
          <w:b/>
        </w:rPr>
      </w:pPr>
      <w:r>
        <w:rPr>
          <w:b/>
        </w:rPr>
        <w:t>Background</w:t>
      </w:r>
    </w:p>
    <w:p w:rsidR="00A5733A" w:rsidRDefault="00A5733A" w:rsidP="00A5733A">
      <w:r>
        <w:t xml:space="preserve">In October 2018 we sent our first longitudinal survey (LONG-1) to </w:t>
      </w:r>
      <w:r w:rsidR="00D24B32">
        <w:t>over</w:t>
      </w:r>
      <w:r>
        <w:t xml:space="preserve"> two thousand people by postal mail. All had</w:t>
      </w:r>
      <w:r w:rsidR="008D73F1">
        <w:t xml:space="preserve"> previously</w:t>
      </w:r>
      <w:r>
        <w:t xml:space="preserve"> responded to one of our annual ‘Australian Unity Wellbeing’ surveys some six years </w:t>
      </w:r>
      <w:proofErr w:type="gramStart"/>
      <w:r>
        <w:t>prior, and</w:t>
      </w:r>
      <w:proofErr w:type="gramEnd"/>
      <w:r>
        <w:t xml:space="preserve"> were now being asked to become involved again. To our surprise and delight 832 people responded. This data-file will form the core of our first longitudinal survey-set and we will be sending all of these people </w:t>
      </w:r>
      <w:r w:rsidR="00982E30">
        <w:t>their</w:t>
      </w:r>
      <w:r>
        <w:t xml:space="preserve"> second survey around October this year.</w:t>
      </w:r>
    </w:p>
    <w:p w:rsidR="00A5733A" w:rsidRDefault="00A5733A" w:rsidP="00A5733A"/>
    <w:p w:rsidR="00A5733A" w:rsidRDefault="00A5733A" w:rsidP="00A5733A">
      <w:r>
        <w:t xml:space="preserve">It has taken us ages to sort this first set of information into a secure and confidential file, but we achieved this about a month ago. </w:t>
      </w:r>
      <w:proofErr w:type="gramStart"/>
      <w:r>
        <w:t>So</w:t>
      </w:r>
      <w:proofErr w:type="gramEnd"/>
      <w:r>
        <w:t xml:space="preserve"> I sent a note of thanks to all the respondents; as those of you who are </w:t>
      </w:r>
      <w:r w:rsidR="008D73F1">
        <w:t>among the list of respondents</w:t>
      </w:r>
      <w:r>
        <w:t xml:space="preserve"> will already know. Th</w:t>
      </w:r>
      <w:r w:rsidR="00982E30">
        <w:t>e note described</w:t>
      </w:r>
      <w:r>
        <w:t xml:space="preserve"> how one of the first uses of these data will be by Kimina Lyall </w:t>
      </w:r>
      <w:hyperlink r:id="rId225" w:history="1">
        <w:r>
          <w:rPr>
            <w:rStyle w:val="Hyperlink"/>
          </w:rPr>
          <w:t>klyall@deakin.edu.au</w:t>
        </w:r>
      </w:hyperlink>
      <w:r>
        <w:t>. Kimina is in the second year of her Psychology Doctorate and will be investigating the relationship between people’s experienced level of stress and their felt level of challenge to mood homeostasis. Both of these constructs were measured by scales in the LONG-1 Survey.</w:t>
      </w:r>
    </w:p>
    <w:p w:rsidR="00A5733A" w:rsidRDefault="00A5733A" w:rsidP="00A5733A"/>
    <w:p w:rsidR="00A5733A" w:rsidRDefault="00A5733A" w:rsidP="00A5733A">
      <w:r>
        <w:t>Last week I was contacted by Ron Robertson &lt;woodland2@iinet.net.au&gt; who is one of the LONG-1 respondents. Ron commented:</w:t>
      </w:r>
    </w:p>
    <w:p w:rsidR="00A5733A" w:rsidRDefault="00A5733A" w:rsidP="00A5733A"/>
    <w:p w:rsidR="00A5733A" w:rsidRDefault="00A5733A" w:rsidP="00A5733A">
      <w:r>
        <w:t>“Stress is an interesting issue. There seems to be good stress and bad stress. I have always worked on the concept that I push the good objective related stress to close to the limit. Bad stress seems to be that imposed where you have no control. Perhaps when that happens the best remedy is to focus on pushing the productive stress”.</w:t>
      </w:r>
    </w:p>
    <w:p w:rsidR="00A5733A" w:rsidRDefault="00A5733A" w:rsidP="00A5733A"/>
    <w:p w:rsidR="00A5733A" w:rsidRDefault="00A5733A" w:rsidP="00A5733A">
      <w:pPr>
        <w:rPr>
          <w:rFonts w:cs="Times New Roman"/>
        </w:rPr>
      </w:pPr>
      <w:r>
        <w:rPr>
          <w:rFonts w:cs="Times New Roman"/>
        </w:rPr>
        <w:t xml:space="preserve">Another comment came from </w:t>
      </w:r>
      <w:r>
        <w:rPr>
          <w:rFonts w:eastAsia="Times New Roman" w:cs="Times New Roman"/>
          <w:lang w:val="en-US"/>
        </w:rPr>
        <w:t>Juanita Wood &lt;</w:t>
      </w:r>
      <w:hyperlink r:id="rId226" w:history="1">
        <w:r>
          <w:rPr>
            <w:rStyle w:val="Hyperlink"/>
            <w:rFonts w:eastAsia="Times New Roman" w:cs="Times New Roman"/>
            <w:color w:val="800080"/>
            <w:lang w:val="en-US"/>
          </w:rPr>
          <w:t>juanita12@bigpond.com</w:t>
        </w:r>
      </w:hyperlink>
      <w:r>
        <w:rPr>
          <w:rFonts w:eastAsia="Times New Roman" w:cs="Times New Roman"/>
          <w:lang w:val="en-US"/>
        </w:rPr>
        <w:t>&gt;, who informs us that she will be ‘</w:t>
      </w:r>
      <w:r>
        <w:rPr>
          <w:rFonts w:eastAsia="Times New Roman" w:cs="Times New Roman"/>
        </w:rPr>
        <w:t xml:space="preserve">90 </w:t>
      </w:r>
      <w:proofErr w:type="spellStart"/>
      <w:r>
        <w:rPr>
          <w:rFonts w:eastAsia="Times New Roman" w:cs="Times New Roman"/>
        </w:rPr>
        <w:t>yrs</w:t>
      </w:r>
      <w:proofErr w:type="spellEnd"/>
      <w:r>
        <w:rPr>
          <w:rFonts w:eastAsia="Times New Roman" w:cs="Times New Roman"/>
        </w:rPr>
        <w:t xml:space="preserve"> old at Christmas’</w:t>
      </w:r>
      <w:r w:rsidR="008F51FD">
        <w:rPr>
          <w:rFonts w:eastAsia="Times New Roman" w:cs="Times New Roman"/>
        </w:rPr>
        <w:t>.</w:t>
      </w:r>
      <w:r>
        <w:rPr>
          <w:rFonts w:eastAsia="Times New Roman" w:cs="Times New Roman"/>
        </w:rPr>
        <w:t xml:space="preserve"> </w:t>
      </w:r>
      <w:r w:rsidR="008F51FD">
        <w:rPr>
          <w:rFonts w:eastAsia="Times New Roman" w:cs="Times New Roman"/>
        </w:rPr>
        <w:t>Juanita</w:t>
      </w:r>
      <w:r>
        <w:rPr>
          <w:rFonts w:eastAsia="Times New Roman" w:cs="Times New Roman"/>
        </w:rPr>
        <w:t xml:space="preserve"> opines that, especially among people who are elderly, a major cause of low wellbeing is the stress of loneliness. </w:t>
      </w:r>
    </w:p>
    <w:p w:rsidR="00A5733A" w:rsidRDefault="00A5733A" w:rsidP="00A5733A"/>
    <w:p w:rsidR="00A5733A" w:rsidRDefault="00A5733A" w:rsidP="00A5733A">
      <w:r>
        <w:t xml:space="preserve">Both of these comments are right on the </w:t>
      </w:r>
      <w:proofErr w:type="gramStart"/>
      <w:r>
        <w:t>button, and</w:t>
      </w:r>
      <w:proofErr w:type="gramEnd"/>
      <w:r>
        <w:t xml:space="preserve"> provide a </w:t>
      </w:r>
      <w:r w:rsidR="00D24B32">
        <w:t>good insight</w:t>
      </w:r>
      <w:r>
        <w:t xml:space="preserve"> how</w:t>
      </w:r>
      <w:r w:rsidR="00D24B32">
        <w:t xml:space="preserve"> aspects of</w:t>
      </w:r>
      <w:r>
        <w:t xml:space="preserve"> stress </w:t>
      </w:r>
      <w:r w:rsidR="00D24B32">
        <w:t>are commonly</w:t>
      </w:r>
      <w:r>
        <w:t xml:space="preserve"> conceived. I can add some complementary understanding, as provided below</w:t>
      </w:r>
      <w:r w:rsidR="008D73F1">
        <w:t>,</w:t>
      </w:r>
      <w:r>
        <w:t xml:space="preserve"> from discussions between myself and Kimina Lyall.</w:t>
      </w:r>
      <w:r w:rsidR="00982E30">
        <w:t xml:space="preserve"> Some of this is speculative, so further discussion is invited.</w:t>
      </w:r>
    </w:p>
    <w:p w:rsidR="00A5733A" w:rsidRDefault="00A5733A" w:rsidP="00A5733A"/>
    <w:p w:rsidR="00A5733A" w:rsidRDefault="00A5733A" w:rsidP="00A5733A">
      <w:r>
        <w:t>-------------------------------------</w:t>
      </w:r>
    </w:p>
    <w:p w:rsidR="00A5733A" w:rsidRDefault="00A5733A" w:rsidP="00A5733A">
      <w:pPr>
        <w:rPr>
          <w:rFonts w:cs="Times New Roman"/>
          <w:b/>
          <w:sz w:val="28"/>
          <w:szCs w:val="28"/>
        </w:rPr>
      </w:pPr>
      <w:r>
        <w:rPr>
          <w:rFonts w:cs="Times New Roman"/>
          <w:b/>
          <w:sz w:val="28"/>
          <w:szCs w:val="28"/>
        </w:rPr>
        <w:t>A contemporary understanding of stress: Seven major pointers</w:t>
      </w:r>
    </w:p>
    <w:p w:rsidR="00A5733A" w:rsidRDefault="00A5733A" w:rsidP="00A5733A">
      <w:pPr>
        <w:rPr>
          <w:rFonts w:cs="Times New Roman"/>
        </w:rPr>
      </w:pPr>
      <w:r>
        <w:rPr>
          <w:rFonts w:cs="Times New Roman"/>
        </w:rPr>
        <w:lastRenderedPageBreak/>
        <w:t>1. To start on the right foot, the term ‘stress’</w:t>
      </w:r>
      <w:r w:rsidR="00982E30">
        <w:rPr>
          <w:rFonts w:cs="Times New Roman"/>
        </w:rPr>
        <w:t xml:space="preserve"> in clinical psychology</w:t>
      </w:r>
      <w:r>
        <w:rPr>
          <w:rFonts w:cs="Times New Roman"/>
        </w:rPr>
        <w:t xml:space="preserve"> is a misnomer. It wrongly </w:t>
      </w:r>
      <w:r w:rsidR="00AC6056">
        <w:rPr>
          <w:rFonts w:cs="Times New Roman"/>
        </w:rPr>
        <w:t>denotes a form of psycho</w:t>
      </w:r>
      <w:r>
        <w:rPr>
          <w:rFonts w:cs="Times New Roman"/>
        </w:rPr>
        <w:t xml:space="preserve">pathology. The tortured concept of ‘good stress’ and ‘bad stress’ </w:t>
      </w:r>
      <w:r w:rsidR="009C0185" w:rsidRPr="009C0185">
        <w:rPr>
          <w:rFonts w:eastAsia="Arial" w:cs="Times New Roman"/>
          <w:noProof/>
          <w:lang w:val="en-US"/>
        </w:rPr>
        <w:t>Selye (1976</w:t>
      </w:r>
      <w:r w:rsidR="009C0185">
        <w:rPr>
          <w:rFonts w:eastAsia="Arial" w:cs="Times New Roman"/>
          <w:noProof/>
          <w:lang w:val="en-US"/>
        </w:rPr>
        <w:t xml:space="preserve">) </w:t>
      </w:r>
      <w:r>
        <w:rPr>
          <w:rFonts w:cs="Times New Roman"/>
        </w:rPr>
        <w:t>just adds confusion. T</w:t>
      </w:r>
      <w:r w:rsidR="00982E30">
        <w:rPr>
          <w:rFonts w:cs="Times New Roman"/>
        </w:rPr>
        <w:t>o facilitate</w:t>
      </w:r>
      <w:r w:rsidR="009C0185">
        <w:rPr>
          <w:rFonts w:cs="Times New Roman"/>
        </w:rPr>
        <w:t xml:space="preserve"> an understanding of what</w:t>
      </w:r>
      <w:r w:rsidR="00982E30">
        <w:rPr>
          <w:rFonts w:cs="Times New Roman"/>
        </w:rPr>
        <w:t xml:space="preserve"> t</w:t>
      </w:r>
      <w:r>
        <w:rPr>
          <w:rFonts w:cs="Times New Roman"/>
        </w:rPr>
        <w:t>he term ‘stress’</w:t>
      </w:r>
      <w:r w:rsidR="009C0185">
        <w:rPr>
          <w:rFonts w:cs="Times New Roman"/>
        </w:rPr>
        <w:t xml:space="preserve"> really implies, </w:t>
      </w:r>
      <w:r w:rsidR="00167663">
        <w:rPr>
          <w:rFonts w:cs="Times New Roman"/>
        </w:rPr>
        <w:t>the term</w:t>
      </w:r>
      <w:r w:rsidR="009C0185">
        <w:rPr>
          <w:rFonts w:cs="Times New Roman"/>
        </w:rPr>
        <w:t xml:space="preserve"> can</w:t>
      </w:r>
      <w:r>
        <w:rPr>
          <w:rFonts w:cs="Times New Roman"/>
        </w:rPr>
        <w:t xml:space="preserve"> be subsumed within a generic model that describes the functioning of ‘Homeostatic Units’. These units are ubiquitous within all living organisms, such that each unit is responsible for managing the level of a single key variable. </w:t>
      </w:r>
      <w:r w:rsidR="00425C6E">
        <w:rPr>
          <w:rFonts w:cs="Times New Roman"/>
        </w:rPr>
        <w:t>It is proposed that a</w:t>
      </w:r>
      <w:r w:rsidR="00B52FD4">
        <w:rPr>
          <w:rFonts w:cs="Times New Roman"/>
        </w:rPr>
        <w:t>n excessive</w:t>
      </w:r>
      <w:r w:rsidR="00DA56A1">
        <w:rPr>
          <w:rFonts w:cs="Times New Roman"/>
        </w:rPr>
        <w:t xml:space="preserve"> level of activity within </w:t>
      </w:r>
      <w:r w:rsidR="00B52FD4">
        <w:rPr>
          <w:rFonts w:cs="Times New Roman"/>
        </w:rPr>
        <w:t>such</w:t>
      </w:r>
      <w:r w:rsidR="00DA56A1">
        <w:rPr>
          <w:rFonts w:cs="Times New Roman"/>
        </w:rPr>
        <w:t xml:space="preserve"> units may </w:t>
      </w:r>
      <w:r w:rsidR="00B52FD4">
        <w:rPr>
          <w:rFonts w:cs="Times New Roman"/>
        </w:rPr>
        <w:t xml:space="preserve">indicate stressed homeostatic functioning, leading to pathological levels of the managed variable. </w:t>
      </w:r>
    </w:p>
    <w:p w:rsidR="00A5733A" w:rsidRDefault="00A5733A" w:rsidP="00A5733A">
      <w:pPr>
        <w:rPr>
          <w:rFonts w:cs="Times New Roman"/>
        </w:rPr>
      </w:pPr>
    </w:p>
    <w:p w:rsidR="00A5733A" w:rsidRDefault="00A5733A" w:rsidP="00A5733A">
      <w:pPr>
        <w:rPr>
          <w:rFonts w:cs="Times New Roman"/>
        </w:rPr>
      </w:pPr>
      <w:r>
        <w:rPr>
          <w:rFonts w:cs="Times New Roman"/>
        </w:rPr>
        <w:t xml:space="preserve">2. The existence of </w:t>
      </w:r>
      <w:r w:rsidR="009C0185">
        <w:rPr>
          <w:rFonts w:cs="Times New Roman"/>
        </w:rPr>
        <w:t>homeostatic</w:t>
      </w:r>
      <w:r>
        <w:rPr>
          <w:rFonts w:cs="Times New Roman"/>
        </w:rPr>
        <w:t xml:space="preserve"> units was originally described for physiological homeostasis by </w:t>
      </w:r>
      <w:r>
        <w:rPr>
          <w:rFonts w:cs="Times New Roman"/>
        </w:rPr>
        <w:fldChar w:fldCharType="begin"/>
      </w:r>
      <w:r>
        <w:rPr>
          <w:rFonts w:cs="Times New Roman"/>
        </w:rPr>
        <w:instrText xml:space="preserve"> ADDIN EN.CITE &lt;EndNote&gt;&lt;Cite&gt;&lt;Author&gt;Cannon&lt;/Author&gt;&lt;Year&gt;1932&lt;/Year&gt;&lt;RecNum&gt;67&lt;/RecNum&gt;&lt;DisplayText&gt;(Cannon, 1932)&lt;/DisplayText&gt;&lt;record&gt;&lt;rec-number&gt;67&lt;/rec-number&gt;&lt;foreign-keys&gt;&lt;key app="EN" db-id="z2xarpe9cfrvp4ezdxk5ddx9dsrzr05f22sa" timestamp="1343947645"&gt;67&lt;/key&gt;&lt;/foreign-keys&gt;&lt;ref-type name="Book"&gt;6&lt;/ref-type&gt;&lt;contributors&gt;&lt;authors&gt;&lt;author&gt;Cannon, W. B.&lt;/author&gt;&lt;/authors&gt;&lt;/contributors&gt;&lt;titles&gt;&lt;title&gt;The wisdom of the body&lt;/title&gt;&lt;/titles&gt;&lt;dates&gt;&lt;year&gt;1932&lt;/year&gt;&lt;/dates&gt;&lt;pub-location&gt;New York NY&lt;/pub-location&gt;&lt;publisher&gt;Norton&lt;/publisher&gt;&lt;urls&gt;&lt;/urls&gt;&lt;/record&gt;&lt;/Cite&gt;&lt;/EndNote&gt;</w:instrText>
      </w:r>
      <w:r>
        <w:rPr>
          <w:rFonts w:cs="Times New Roman"/>
        </w:rPr>
        <w:fldChar w:fldCharType="separate"/>
      </w:r>
      <w:r>
        <w:rPr>
          <w:rFonts w:cs="Times New Roman"/>
        </w:rPr>
        <w:t>(Cannon, 1932)</w:t>
      </w:r>
      <w:r>
        <w:rPr>
          <w:rFonts w:cs="Times New Roman"/>
        </w:rPr>
        <w:fldChar w:fldCharType="end"/>
      </w:r>
      <w:r>
        <w:rPr>
          <w:rFonts w:cs="Times New Roman"/>
        </w:rPr>
        <w:t xml:space="preserve"> and for psychological homeostasis by</w:t>
      </w:r>
      <w:r w:rsidR="0003649D">
        <w:rPr>
          <w:rFonts w:cs="Times New Roman"/>
        </w:rPr>
        <w:t xml:space="preserve"> (Cummins, </w:t>
      </w:r>
      <w:r w:rsidR="008F51FD">
        <w:rPr>
          <w:rFonts w:cs="Times New Roman"/>
        </w:rPr>
        <w:t xml:space="preserve">1995, </w:t>
      </w:r>
      <w:r w:rsidR="0003649D">
        <w:rPr>
          <w:rFonts w:cs="Times New Roman"/>
        </w:rPr>
        <w:t xml:space="preserve">2017). </w:t>
      </w:r>
      <w:r>
        <w:rPr>
          <w:rFonts w:cs="Times New Roman"/>
        </w:rPr>
        <w:t xml:space="preserve">Both </w:t>
      </w:r>
      <w:r w:rsidR="008F51FD">
        <w:rPr>
          <w:rFonts w:cs="Times New Roman"/>
        </w:rPr>
        <w:t xml:space="preserve">authors </w:t>
      </w:r>
      <w:r>
        <w:rPr>
          <w:rFonts w:cs="Times New Roman"/>
        </w:rPr>
        <w:t xml:space="preserve">describe the defence of a genetically determined </w:t>
      </w:r>
      <w:proofErr w:type="spellStart"/>
      <w:r>
        <w:rPr>
          <w:rFonts w:cs="Times New Roman"/>
        </w:rPr>
        <w:t>setpoint</w:t>
      </w:r>
      <w:proofErr w:type="spellEnd"/>
      <w:r>
        <w:rPr>
          <w:rFonts w:cs="Times New Roman"/>
        </w:rPr>
        <w:t xml:space="preserve">, which defines the optimal resting level of </w:t>
      </w:r>
      <w:r w:rsidR="009C0185">
        <w:rPr>
          <w:rFonts w:cs="Times New Roman"/>
        </w:rPr>
        <w:t>a</w:t>
      </w:r>
      <w:r>
        <w:rPr>
          <w:rFonts w:cs="Times New Roman"/>
        </w:rPr>
        <w:t xml:space="preserve"> variable </w:t>
      </w:r>
      <w:r w:rsidR="009C0185">
        <w:rPr>
          <w:rFonts w:cs="Times New Roman"/>
        </w:rPr>
        <w:t>which is being</w:t>
      </w:r>
      <w:r>
        <w:rPr>
          <w:rFonts w:cs="Times New Roman"/>
        </w:rPr>
        <w:t xml:space="preserve"> managed</w:t>
      </w:r>
      <w:r w:rsidR="009C0185">
        <w:rPr>
          <w:rFonts w:cs="Times New Roman"/>
        </w:rPr>
        <w:t xml:space="preserve"> either physiologically</w:t>
      </w:r>
      <w:r>
        <w:rPr>
          <w:rFonts w:cs="Times New Roman"/>
        </w:rPr>
        <w:t xml:space="preserve"> (e.g. Core body temperature</w:t>
      </w:r>
      <w:r w:rsidR="009C0185">
        <w:rPr>
          <w:rFonts w:cs="Times New Roman"/>
        </w:rPr>
        <w:t>)</w:t>
      </w:r>
      <w:r>
        <w:rPr>
          <w:rFonts w:cs="Times New Roman"/>
        </w:rPr>
        <w:t xml:space="preserve"> </w:t>
      </w:r>
      <w:r w:rsidR="009C0185">
        <w:rPr>
          <w:rFonts w:cs="Times New Roman"/>
        </w:rPr>
        <w:t>or psychologically (Homeostatically Protected Mood: HPMood).</w:t>
      </w:r>
      <w:r>
        <w:rPr>
          <w:rFonts w:cs="Times New Roman"/>
        </w:rPr>
        <w:t xml:space="preserve"> The </w:t>
      </w:r>
      <w:r w:rsidR="009C0185">
        <w:rPr>
          <w:rFonts w:cs="Times New Roman"/>
        </w:rPr>
        <w:t xml:space="preserve">set-point </w:t>
      </w:r>
      <w:r>
        <w:rPr>
          <w:rFonts w:cs="Times New Roman"/>
        </w:rPr>
        <w:t>represents the optimal level</w:t>
      </w:r>
      <w:r w:rsidR="008D73F1">
        <w:rPr>
          <w:rFonts w:cs="Times New Roman"/>
        </w:rPr>
        <w:t xml:space="preserve"> of the variable</w:t>
      </w:r>
      <w:r>
        <w:rPr>
          <w:rFonts w:cs="Times New Roman"/>
        </w:rPr>
        <w:t xml:space="preserve"> </w:t>
      </w:r>
      <w:r w:rsidR="008D73F1">
        <w:rPr>
          <w:rFonts w:cs="Times New Roman"/>
        </w:rPr>
        <w:t xml:space="preserve">for homeostatic functioning </w:t>
      </w:r>
      <w:r>
        <w:rPr>
          <w:rFonts w:cs="Times New Roman"/>
        </w:rPr>
        <w:t xml:space="preserve">under resting conditions. </w:t>
      </w:r>
    </w:p>
    <w:p w:rsidR="00A5733A" w:rsidRDefault="00A5733A" w:rsidP="00A5733A">
      <w:pPr>
        <w:rPr>
          <w:rFonts w:cs="Times New Roman"/>
        </w:rPr>
      </w:pPr>
    </w:p>
    <w:p w:rsidR="00A5733A" w:rsidRDefault="00A5733A" w:rsidP="00A5733A">
      <w:pPr>
        <w:rPr>
          <w:rFonts w:cs="Times New Roman"/>
        </w:rPr>
      </w:pPr>
      <w:r>
        <w:rPr>
          <w:rFonts w:cs="Times New Roman"/>
        </w:rPr>
        <w:t>3. For all such managed variables, challenges to the set-point level occur on a continuous basis. For example, people gain</w:t>
      </w:r>
      <w:r w:rsidR="00AA4BAC">
        <w:rPr>
          <w:rFonts w:cs="Times New Roman"/>
        </w:rPr>
        <w:t xml:space="preserve"> body</w:t>
      </w:r>
      <w:r>
        <w:rPr>
          <w:rFonts w:cs="Times New Roman"/>
        </w:rPr>
        <w:t xml:space="preserve"> heat, </w:t>
      </w:r>
      <w:r w:rsidR="00AA4BAC">
        <w:rPr>
          <w:rFonts w:cs="Times New Roman"/>
        </w:rPr>
        <w:t>or</w:t>
      </w:r>
      <w:r>
        <w:rPr>
          <w:rFonts w:cs="Times New Roman"/>
        </w:rPr>
        <w:t xml:space="preserve"> short-term emotional reactions</w:t>
      </w:r>
      <w:r w:rsidR="00AA4BAC">
        <w:rPr>
          <w:rFonts w:cs="Times New Roman"/>
        </w:rPr>
        <w:t xml:space="preserve"> add positive affect. These additions take the level of the managed variable away from its </w:t>
      </w:r>
      <w:proofErr w:type="spellStart"/>
      <w:r w:rsidR="00AA4BAC">
        <w:rPr>
          <w:rFonts w:cs="Times New Roman"/>
        </w:rPr>
        <w:t>setpoint</w:t>
      </w:r>
      <w:proofErr w:type="spellEnd"/>
      <w:r w:rsidR="00576A5B">
        <w:rPr>
          <w:rFonts w:cs="Times New Roman"/>
        </w:rPr>
        <w:t>. While such altered levels are likely to be adaptive in the short-term, in the longer-term their influence needs</w:t>
      </w:r>
      <w:r w:rsidR="00AA4BAC">
        <w:rPr>
          <w:rFonts w:cs="Times New Roman"/>
        </w:rPr>
        <w:t xml:space="preserve"> to be dissipated, in order that the managed variable (temperature and HPMood, respectively) can return to its set-point.</w:t>
      </w:r>
      <w:r>
        <w:rPr>
          <w:rFonts w:cs="Times New Roman"/>
        </w:rPr>
        <w:t xml:space="preserve"> In response</w:t>
      </w:r>
      <w:r w:rsidR="008D73F1">
        <w:rPr>
          <w:rFonts w:cs="Times New Roman"/>
        </w:rPr>
        <w:t xml:space="preserve"> to these challenges</w:t>
      </w:r>
      <w:r>
        <w:rPr>
          <w:rFonts w:cs="Times New Roman"/>
        </w:rPr>
        <w:t xml:space="preserve">, the associated homeostatic system for each variable undergoes ‘Homeostatic Activation’ as it acts to bring </w:t>
      </w:r>
      <w:r w:rsidR="00576A5B">
        <w:rPr>
          <w:rFonts w:cs="Times New Roman"/>
        </w:rPr>
        <w:t>the</w:t>
      </w:r>
      <w:r>
        <w:rPr>
          <w:rFonts w:cs="Times New Roman"/>
        </w:rPr>
        <w:t xml:space="preserve"> level</w:t>
      </w:r>
      <w:r w:rsidR="00576A5B">
        <w:rPr>
          <w:rFonts w:cs="Times New Roman"/>
        </w:rPr>
        <w:t xml:space="preserve"> of its managed variable</w:t>
      </w:r>
      <w:r>
        <w:rPr>
          <w:rFonts w:cs="Times New Roman"/>
        </w:rPr>
        <w:t xml:space="preserve"> back to </w:t>
      </w:r>
      <w:proofErr w:type="spellStart"/>
      <w:r>
        <w:rPr>
          <w:rFonts w:cs="Times New Roman"/>
        </w:rPr>
        <w:t>setpoint</w:t>
      </w:r>
      <w:proofErr w:type="spellEnd"/>
      <w:r>
        <w:rPr>
          <w:rFonts w:cs="Times New Roman"/>
        </w:rPr>
        <w:t xml:space="preserve">. This process results in a dynamic interaction between each variable and its environment, such that its measured level oscillates around its set-point. The normal range of these oscillations describes the variable’s </w:t>
      </w:r>
      <w:proofErr w:type="spellStart"/>
      <w:r>
        <w:rPr>
          <w:rFonts w:cs="Times New Roman"/>
        </w:rPr>
        <w:t>setpoint</w:t>
      </w:r>
      <w:proofErr w:type="spellEnd"/>
      <w:r>
        <w:rPr>
          <w:rFonts w:cs="Times New Roman"/>
        </w:rPr>
        <w:t>-range. For core body temperature this</w:t>
      </w:r>
      <w:r w:rsidR="00576A5B">
        <w:rPr>
          <w:rFonts w:cs="Times New Roman"/>
        </w:rPr>
        <w:t xml:space="preserve"> normal range of fluctuations</w:t>
      </w:r>
      <w:r>
        <w:rPr>
          <w:rFonts w:cs="Times New Roman"/>
        </w:rPr>
        <w:t xml:space="preserve"> is 36.5–37.5 °C. For HPMood it is about </w:t>
      </w:r>
      <w:r w:rsidR="00EE4A66">
        <w:rPr>
          <w:rFonts w:cs="Times New Roman"/>
        </w:rPr>
        <w:t>65</w:t>
      </w:r>
      <w:r>
        <w:rPr>
          <w:rFonts w:cs="Times New Roman"/>
        </w:rPr>
        <w:t>–95 points on a 0–100 percentage points scale</w:t>
      </w:r>
      <w:r w:rsidR="00EE4A66">
        <w:rPr>
          <w:rFonts w:cs="Times New Roman"/>
        </w:rPr>
        <w:t xml:space="preserve"> (Capic et al., 2018)</w:t>
      </w:r>
      <w:r>
        <w:rPr>
          <w:rFonts w:cs="Times New Roman"/>
        </w:rPr>
        <w:t xml:space="preserve">. </w:t>
      </w:r>
    </w:p>
    <w:p w:rsidR="004207A6" w:rsidRDefault="004207A6" w:rsidP="00A5733A">
      <w:pPr>
        <w:rPr>
          <w:rFonts w:cs="Times New Roman"/>
        </w:rPr>
      </w:pPr>
    </w:p>
    <w:p w:rsidR="00A5733A" w:rsidRDefault="00A5733A" w:rsidP="00A5733A">
      <w:pPr>
        <w:rPr>
          <w:rFonts w:cs="Times New Roman"/>
        </w:rPr>
      </w:pPr>
      <w:r>
        <w:rPr>
          <w:rFonts w:cs="Times New Roman"/>
        </w:rPr>
        <w:t xml:space="preserve">4. </w:t>
      </w:r>
      <w:r w:rsidR="005A540D">
        <w:rPr>
          <w:rFonts w:cs="Times New Roman"/>
        </w:rPr>
        <w:t>When the</w:t>
      </w:r>
      <w:r>
        <w:rPr>
          <w:rFonts w:cs="Times New Roman"/>
        </w:rPr>
        <w:t xml:space="preserve"> level of each variable moves outside its </w:t>
      </w:r>
      <w:proofErr w:type="spellStart"/>
      <w:r>
        <w:rPr>
          <w:rFonts w:cs="Times New Roman"/>
        </w:rPr>
        <w:t>setpoint</w:t>
      </w:r>
      <w:proofErr w:type="spellEnd"/>
      <w:r>
        <w:rPr>
          <w:rFonts w:cs="Times New Roman"/>
        </w:rPr>
        <w:t xml:space="preserve"> range</w:t>
      </w:r>
      <w:r w:rsidR="005A540D">
        <w:rPr>
          <w:rFonts w:cs="Times New Roman"/>
        </w:rPr>
        <w:t xml:space="preserve"> for brief periods, this</w:t>
      </w:r>
      <w:r>
        <w:rPr>
          <w:rFonts w:cs="Times New Roman"/>
        </w:rPr>
        <w:t xml:space="preserve"> is both normal and adaptive. </w:t>
      </w:r>
      <w:r w:rsidR="005A540D">
        <w:rPr>
          <w:rFonts w:cs="Times New Roman"/>
        </w:rPr>
        <w:t xml:space="preserve">Such </w:t>
      </w:r>
      <w:r w:rsidR="00425C6E">
        <w:rPr>
          <w:rFonts w:cs="Times New Roman"/>
        </w:rPr>
        <w:t xml:space="preserve">a </w:t>
      </w:r>
      <w:r w:rsidR="005A540D">
        <w:rPr>
          <w:rFonts w:cs="Times New Roman"/>
        </w:rPr>
        <w:t>changed level</w:t>
      </w:r>
      <w:r>
        <w:rPr>
          <w:rFonts w:cs="Times New Roman"/>
        </w:rPr>
        <w:t xml:space="preserve"> may be due, for example, to heavy </w:t>
      </w:r>
      <w:r w:rsidR="008F51FD">
        <w:rPr>
          <w:rFonts w:cs="Times New Roman"/>
        </w:rPr>
        <w:t xml:space="preserve">physical </w:t>
      </w:r>
      <w:r>
        <w:rPr>
          <w:rFonts w:cs="Times New Roman"/>
        </w:rPr>
        <w:t>exertion (creating heat) or a sad event (creating low positive mood). These</w:t>
      </w:r>
      <w:r w:rsidR="005A540D">
        <w:rPr>
          <w:rFonts w:cs="Times New Roman"/>
        </w:rPr>
        <w:t xml:space="preserve"> states</w:t>
      </w:r>
      <w:r>
        <w:rPr>
          <w:rFonts w:cs="Times New Roman"/>
        </w:rPr>
        <w:t xml:space="preserve"> are adaptive in allowing a period of maximum muscular </w:t>
      </w:r>
      <w:r w:rsidR="008F51FD">
        <w:rPr>
          <w:rFonts w:cs="Times New Roman"/>
        </w:rPr>
        <w:t>activity</w:t>
      </w:r>
      <w:r>
        <w:rPr>
          <w:rFonts w:cs="Times New Roman"/>
        </w:rPr>
        <w:t xml:space="preserve">, or a period of introspection regarding the cause of the event. The key to normality, then, </w:t>
      </w:r>
      <w:r w:rsidR="005A540D">
        <w:rPr>
          <w:rFonts w:cs="Times New Roman"/>
        </w:rPr>
        <w:t>lies in</w:t>
      </w:r>
      <w:r>
        <w:rPr>
          <w:rFonts w:cs="Times New Roman"/>
        </w:rPr>
        <w:t xml:space="preserve"> the process of recovery. The strength of this recovery process is called ‘resilience’</w:t>
      </w:r>
      <w:r w:rsidR="004207A6">
        <w:rPr>
          <w:rFonts w:cs="Times New Roman"/>
        </w:rPr>
        <w:t xml:space="preserve"> (</w:t>
      </w:r>
      <w:r w:rsidR="00425C6E">
        <w:rPr>
          <w:rFonts w:cs="Times New Roman"/>
        </w:rPr>
        <w:t xml:space="preserve">for a review see </w:t>
      </w:r>
      <w:r w:rsidR="004207A6">
        <w:rPr>
          <w:rFonts w:cs="Times New Roman"/>
        </w:rPr>
        <w:t>Cummins &amp; Wooden, 2014)</w:t>
      </w:r>
      <w:r>
        <w:rPr>
          <w:rFonts w:cs="Times New Roman"/>
        </w:rPr>
        <w:t>.</w:t>
      </w:r>
    </w:p>
    <w:p w:rsidR="00A5733A" w:rsidRDefault="00A5733A" w:rsidP="00A5733A">
      <w:pPr>
        <w:rPr>
          <w:rFonts w:cs="Times New Roman"/>
        </w:rPr>
      </w:pPr>
    </w:p>
    <w:p w:rsidR="00A5733A" w:rsidRDefault="00A5733A" w:rsidP="00A5733A">
      <w:pPr>
        <w:rPr>
          <w:rFonts w:cs="Times New Roman"/>
        </w:rPr>
      </w:pPr>
      <w:r>
        <w:rPr>
          <w:rFonts w:cs="Times New Roman"/>
        </w:rPr>
        <w:t xml:space="preserve">5. A critical feature of adaptive excursions beyond </w:t>
      </w:r>
      <w:proofErr w:type="spellStart"/>
      <w:r>
        <w:rPr>
          <w:rFonts w:cs="Times New Roman"/>
        </w:rPr>
        <w:t>setpoint</w:t>
      </w:r>
      <w:proofErr w:type="spellEnd"/>
      <w:r>
        <w:rPr>
          <w:rFonts w:cs="Times New Roman"/>
        </w:rPr>
        <w:t xml:space="preserve"> range, is that</w:t>
      </w:r>
      <w:r w:rsidR="00910F31">
        <w:rPr>
          <w:rFonts w:cs="Times New Roman"/>
        </w:rPr>
        <w:t xml:space="preserve"> homeostatic resilience is strong enough to ensure that</w:t>
      </w:r>
      <w:r>
        <w:rPr>
          <w:rFonts w:cs="Times New Roman"/>
        </w:rPr>
        <w:t xml:space="preserve"> the period of the excursion is brief. When </w:t>
      </w:r>
      <w:r w:rsidR="004207A6">
        <w:rPr>
          <w:rFonts w:cs="Times New Roman"/>
        </w:rPr>
        <w:t>the excursion</w:t>
      </w:r>
      <w:r>
        <w:rPr>
          <w:rFonts w:cs="Times New Roman"/>
        </w:rPr>
        <w:t xml:space="preserve"> is protracted it</w:t>
      </w:r>
      <w:r w:rsidR="005A540D">
        <w:rPr>
          <w:rFonts w:cs="Times New Roman"/>
        </w:rPr>
        <w:t xml:space="preserve"> indicates a dominance of the challenging agent over resilience, and</w:t>
      </w:r>
      <w:r>
        <w:rPr>
          <w:rFonts w:cs="Times New Roman"/>
        </w:rPr>
        <w:t xml:space="preserve"> signal</w:t>
      </w:r>
      <w:r w:rsidR="005A540D">
        <w:rPr>
          <w:rFonts w:cs="Times New Roman"/>
        </w:rPr>
        <w:t>s</w:t>
      </w:r>
      <w:r>
        <w:rPr>
          <w:rFonts w:cs="Times New Roman"/>
        </w:rPr>
        <w:t xml:space="preserve"> pathology. For example, </w:t>
      </w:r>
      <w:r w:rsidR="005A540D">
        <w:rPr>
          <w:rFonts w:cs="Times New Roman"/>
        </w:rPr>
        <w:t xml:space="preserve">a </w:t>
      </w:r>
      <w:r>
        <w:rPr>
          <w:rFonts w:cs="Times New Roman"/>
        </w:rPr>
        <w:t xml:space="preserve">protracted period of core body temperature above 38.0 °C become life-threatening, while a protracted period of HPMood below </w:t>
      </w:r>
      <w:r w:rsidR="004207A6">
        <w:rPr>
          <w:rFonts w:cs="Times New Roman"/>
        </w:rPr>
        <w:t>60</w:t>
      </w:r>
      <w:r>
        <w:rPr>
          <w:rFonts w:cs="Times New Roman"/>
        </w:rPr>
        <w:t xml:space="preserve"> points may indicate depression. Thus, the transition from adaptive change to pathology is defined by both the extent of the change and its duration. </w:t>
      </w:r>
      <w:r w:rsidR="005A540D">
        <w:rPr>
          <w:rFonts w:cs="Times New Roman"/>
        </w:rPr>
        <w:t>However, it</w:t>
      </w:r>
      <w:r>
        <w:rPr>
          <w:rFonts w:cs="Times New Roman"/>
        </w:rPr>
        <w:t xml:space="preserve"> is also situation specific. While a period of low HPMood is adaptive following a negative event, if it occurs spontaneously it is pathological. </w:t>
      </w:r>
    </w:p>
    <w:p w:rsidR="00A5733A" w:rsidRDefault="00A5733A" w:rsidP="00A5733A">
      <w:pPr>
        <w:rPr>
          <w:rFonts w:cs="Times New Roman"/>
        </w:rPr>
      </w:pPr>
    </w:p>
    <w:p w:rsidR="00A5733A" w:rsidRDefault="00A5733A" w:rsidP="00A5733A">
      <w:pPr>
        <w:rPr>
          <w:rFonts w:cs="Times New Roman"/>
        </w:rPr>
      </w:pPr>
      <w:r>
        <w:rPr>
          <w:rFonts w:cs="Times New Roman"/>
        </w:rPr>
        <w:t>6. The</w:t>
      </w:r>
      <w:r w:rsidR="00B025D6">
        <w:rPr>
          <w:rFonts w:cs="Times New Roman"/>
        </w:rPr>
        <w:t xml:space="preserve"> level of challenge</w:t>
      </w:r>
      <w:r>
        <w:rPr>
          <w:rFonts w:cs="Times New Roman"/>
        </w:rPr>
        <w:t xml:space="preserve"> </w:t>
      </w:r>
      <w:r w:rsidR="00B025D6">
        <w:rPr>
          <w:rFonts w:cs="Times New Roman"/>
        </w:rPr>
        <w:t>required to cause the failure of HPMood homeostasis, is hard to predict</w:t>
      </w:r>
      <w:r>
        <w:rPr>
          <w:rFonts w:cs="Times New Roman"/>
        </w:rPr>
        <w:t xml:space="preserve">. Apart from individual differences in the level of set-points and </w:t>
      </w:r>
      <w:r w:rsidR="005A540D">
        <w:rPr>
          <w:rFonts w:cs="Times New Roman"/>
        </w:rPr>
        <w:t xml:space="preserve">differing </w:t>
      </w:r>
      <w:r>
        <w:rPr>
          <w:rFonts w:cs="Times New Roman"/>
        </w:rPr>
        <w:t>perceptions of what constitutes a negative experience, there are</w:t>
      </w:r>
      <w:r w:rsidR="005A540D">
        <w:rPr>
          <w:rFonts w:cs="Times New Roman"/>
        </w:rPr>
        <w:t xml:space="preserve"> also</w:t>
      </w:r>
      <w:r>
        <w:rPr>
          <w:rFonts w:cs="Times New Roman"/>
        </w:rPr>
        <w:t xml:space="preserve"> differences in resilience</w:t>
      </w:r>
      <w:r w:rsidR="0066480A">
        <w:rPr>
          <w:rFonts w:cs="Times New Roman"/>
        </w:rPr>
        <w:t xml:space="preserve"> capacity</w:t>
      </w:r>
      <w:r>
        <w:rPr>
          <w:rFonts w:cs="Times New Roman"/>
        </w:rPr>
        <w:t xml:space="preserve">. </w:t>
      </w:r>
      <w:r>
        <w:rPr>
          <w:rFonts w:cs="Times New Roman"/>
        </w:rPr>
        <w:lastRenderedPageBreak/>
        <w:t xml:space="preserve">That is, the availability of resources to support homeostatic recovery. There are two major categories of </w:t>
      </w:r>
      <w:r w:rsidR="00556077">
        <w:rPr>
          <w:rFonts w:cs="Times New Roman"/>
        </w:rPr>
        <w:t xml:space="preserve">resilience </w:t>
      </w:r>
      <w:r>
        <w:rPr>
          <w:rFonts w:cs="Times New Roman"/>
        </w:rPr>
        <w:t>resource</w:t>
      </w:r>
      <w:r w:rsidR="00556077">
        <w:rPr>
          <w:rFonts w:cs="Times New Roman"/>
        </w:rPr>
        <w:t>s</w:t>
      </w:r>
      <w:r>
        <w:rPr>
          <w:rFonts w:cs="Times New Roman"/>
        </w:rPr>
        <w:t xml:space="preserve">, external and internal. The three major supportive external resources are the ‘Golden Triangle’ domains of money (surprise!), an emotionally supportive intimate relationship (as noted by </w:t>
      </w:r>
      <w:r>
        <w:rPr>
          <w:rFonts w:cs="Times New Roman"/>
          <w:lang w:val="en-US"/>
        </w:rPr>
        <w:t>Juanita), and a sense of achieving something</w:t>
      </w:r>
      <w:r w:rsidR="00A86E90">
        <w:rPr>
          <w:rFonts w:cs="Times New Roman"/>
          <w:lang w:val="en-US"/>
        </w:rPr>
        <w:t xml:space="preserve"> important</w:t>
      </w:r>
      <w:r w:rsidR="00556077">
        <w:rPr>
          <w:rFonts w:cs="Times New Roman"/>
          <w:lang w:val="en-US"/>
        </w:rPr>
        <w:t xml:space="preserve"> in life</w:t>
      </w:r>
      <w:r>
        <w:rPr>
          <w:rFonts w:cs="Times New Roman"/>
          <w:lang w:val="en-US"/>
        </w:rPr>
        <w:t>. The internal resources include having a sense of personal control (as noted by Ron).</w:t>
      </w:r>
    </w:p>
    <w:p w:rsidR="00A5733A" w:rsidRDefault="00A5733A" w:rsidP="00A5733A">
      <w:pPr>
        <w:rPr>
          <w:rFonts w:cs="Times New Roman"/>
        </w:rPr>
      </w:pPr>
    </w:p>
    <w:p w:rsidR="00A5733A" w:rsidRDefault="00A5733A" w:rsidP="00A5733A">
      <w:pPr>
        <w:rPr>
          <w:rFonts w:cs="Times New Roman"/>
        </w:rPr>
      </w:pPr>
      <w:r>
        <w:rPr>
          <w:rFonts w:cs="Times New Roman"/>
        </w:rPr>
        <w:t xml:space="preserve">7. From the above, when ‘stress’ is reconceptualised </w:t>
      </w:r>
      <w:r w:rsidR="00425C6E">
        <w:rPr>
          <w:rFonts w:cs="Times New Roman"/>
        </w:rPr>
        <w:t>within the context of</w:t>
      </w:r>
      <w:r>
        <w:rPr>
          <w:rFonts w:cs="Times New Roman"/>
        </w:rPr>
        <w:t xml:space="preserve"> ‘Homeostatic Activation’, it can be seen that such activation exists on a continuum, from low to high within any homeostatic unit. The presence of an increasing challenge to homeostatic control, and the </w:t>
      </w:r>
      <w:r w:rsidR="00155E36">
        <w:rPr>
          <w:rFonts w:cs="Times New Roman"/>
        </w:rPr>
        <w:t xml:space="preserve">defensive </w:t>
      </w:r>
      <w:r>
        <w:rPr>
          <w:rFonts w:cs="Times New Roman"/>
        </w:rPr>
        <w:t>rise in Homeostatic Activation, can be observed as heightened oscillations of HPMood around its set-point</w:t>
      </w:r>
      <w:r w:rsidR="00167663">
        <w:rPr>
          <w:rFonts w:cs="Times New Roman"/>
        </w:rPr>
        <w:t xml:space="preserve"> (Anglim et al., 2015</w:t>
      </w:r>
      <w:r w:rsidR="008F51FD">
        <w:rPr>
          <w:rFonts w:cs="Times New Roman"/>
        </w:rPr>
        <w:t>)</w:t>
      </w:r>
      <w:r>
        <w:rPr>
          <w:rFonts w:cs="Times New Roman"/>
        </w:rPr>
        <w:t xml:space="preserve">. Psychological </w:t>
      </w:r>
      <w:r w:rsidR="005A540D">
        <w:rPr>
          <w:rFonts w:cs="Times New Roman"/>
        </w:rPr>
        <w:t>di</w:t>
      </w:r>
      <w:r>
        <w:rPr>
          <w:rFonts w:cs="Times New Roman"/>
        </w:rPr>
        <w:t>stress occurs when the unit concerning Homeostatically Protected Mood is subjected to negative experience which is strong and persistent enough to overwhelm the homeostatic capacity of this homeostatic unit</w:t>
      </w:r>
      <w:r w:rsidR="005A540D">
        <w:rPr>
          <w:rFonts w:cs="Times New Roman"/>
        </w:rPr>
        <w:t>.</w:t>
      </w:r>
      <w:r>
        <w:rPr>
          <w:rFonts w:cs="Times New Roman"/>
        </w:rPr>
        <w:t xml:space="preserve"> </w:t>
      </w:r>
      <w:r w:rsidR="00167663">
        <w:rPr>
          <w:rFonts w:cs="Times New Roman"/>
        </w:rPr>
        <w:t xml:space="preserve">Such a </w:t>
      </w:r>
      <w:r w:rsidR="00155E36">
        <w:rPr>
          <w:rFonts w:cs="Times New Roman"/>
        </w:rPr>
        <w:t xml:space="preserve">level of challenge </w:t>
      </w:r>
      <w:r>
        <w:rPr>
          <w:rFonts w:cs="Times New Roman"/>
        </w:rPr>
        <w:t>inhibit</w:t>
      </w:r>
      <w:r w:rsidR="005A540D">
        <w:rPr>
          <w:rFonts w:cs="Times New Roman"/>
        </w:rPr>
        <w:t>s</w:t>
      </w:r>
      <w:r>
        <w:rPr>
          <w:rFonts w:cs="Times New Roman"/>
        </w:rPr>
        <w:t xml:space="preserve"> the return of experienced mood to its</w:t>
      </w:r>
      <w:r w:rsidR="005A540D">
        <w:rPr>
          <w:rFonts w:cs="Times New Roman"/>
        </w:rPr>
        <w:t xml:space="preserve"> normally positive</w:t>
      </w:r>
      <w:r>
        <w:rPr>
          <w:rFonts w:cs="Times New Roman"/>
        </w:rPr>
        <w:t xml:space="preserve"> </w:t>
      </w:r>
      <w:proofErr w:type="spellStart"/>
      <w:r>
        <w:rPr>
          <w:rFonts w:cs="Times New Roman"/>
        </w:rPr>
        <w:t>setpoint</w:t>
      </w:r>
      <w:proofErr w:type="spellEnd"/>
      <w:r w:rsidR="00155E36">
        <w:rPr>
          <w:rFonts w:cs="Times New Roman"/>
        </w:rPr>
        <w:t>. As a consequence,</w:t>
      </w:r>
      <w:r w:rsidR="005A540D">
        <w:rPr>
          <w:rFonts w:cs="Times New Roman"/>
        </w:rPr>
        <w:t xml:space="preserve"> the negative experiences of </w:t>
      </w:r>
      <w:r w:rsidR="00301EBC">
        <w:rPr>
          <w:rFonts w:cs="Times New Roman"/>
        </w:rPr>
        <w:t>di</w:t>
      </w:r>
      <w:r w:rsidR="005A540D">
        <w:rPr>
          <w:rFonts w:cs="Times New Roman"/>
        </w:rPr>
        <w:t xml:space="preserve">stress, anxiety and depression </w:t>
      </w:r>
      <w:r w:rsidR="00301EBC">
        <w:rPr>
          <w:rFonts w:cs="Times New Roman"/>
        </w:rPr>
        <w:t>enter</w:t>
      </w:r>
      <w:r w:rsidR="005A540D">
        <w:rPr>
          <w:rFonts w:cs="Times New Roman"/>
        </w:rPr>
        <w:t xml:space="preserve"> consciousness</w:t>
      </w:r>
      <w:r>
        <w:rPr>
          <w:rFonts w:cs="Times New Roman"/>
        </w:rPr>
        <w:t xml:space="preserve">. </w:t>
      </w:r>
    </w:p>
    <w:p w:rsidR="00A5733A" w:rsidRDefault="00A5733A" w:rsidP="00CA4A49">
      <w:pPr>
        <w:rPr>
          <w:rFonts w:eastAsia="Arial" w:cs="Times New Roman"/>
          <w:b/>
        </w:rPr>
      </w:pPr>
    </w:p>
    <w:p w:rsidR="00CA4A49" w:rsidRPr="00BB5D46" w:rsidRDefault="00CA4A49" w:rsidP="00CA4A49">
      <w:pPr>
        <w:rPr>
          <w:rFonts w:eastAsia="Arial" w:cs="Times New Roman"/>
        </w:rPr>
      </w:pPr>
      <w:r w:rsidRPr="00911AB3">
        <w:rPr>
          <w:rFonts w:eastAsia="Arial" w:cs="Times New Roman"/>
          <w:b/>
        </w:rPr>
        <w:t>References:</w:t>
      </w:r>
      <w:r>
        <w:rPr>
          <w:rFonts w:eastAsia="Arial" w:cs="Times New Roman"/>
        </w:rPr>
        <w:t xml:space="preserve"> </w:t>
      </w:r>
      <w:r>
        <w:rPr>
          <w:rFonts w:eastAsia="Arial" w:cs="Times New Roman"/>
          <w:i/>
          <w:sz w:val="22"/>
          <w:szCs w:val="22"/>
        </w:rPr>
        <w:t>see end of Bulletin</w:t>
      </w:r>
    </w:p>
    <w:p w:rsidR="00CA4A49" w:rsidRPr="00BB5D46" w:rsidRDefault="00CA4A49" w:rsidP="00CA4A49">
      <w:pPr>
        <w:jc w:val="center"/>
        <w:rPr>
          <w:rFonts w:eastAsia="Arial" w:cs="Times New Roman"/>
          <w:i/>
        </w:rPr>
      </w:pPr>
    </w:p>
    <w:p w:rsidR="00CA4A49" w:rsidRPr="00BB5D46" w:rsidRDefault="00CA4A49" w:rsidP="00CA4A49">
      <w:pPr>
        <w:jc w:val="center"/>
        <w:rPr>
          <w:rFonts w:eastAsia="Arial" w:cs="Times New Roman"/>
          <w:i/>
        </w:rPr>
      </w:pPr>
      <w:r w:rsidRPr="00BB5D46">
        <w:rPr>
          <w:rFonts w:eastAsia="Arial" w:cs="Times New Roman"/>
          <w:i/>
        </w:rPr>
        <w:t xml:space="preserve">Further discussion of </w:t>
      </w:r>
      <w:r w:rsidR="00187E87">
        <w:rPr>
          <w:rFonts w:eastAsia="Arial" w:cs="Times New Roman"/>
          <w:i/>
        </w:rPr>
        <w:t>this opinion article,</w:t>
      </w:r>
      <w:r w:rsidRPr="00BB5D46">
        <w:rPr>
          <w:rFonts w:eastAsia="Arial" w:cs="Times New Roman"/>
          <w:i/>
        </w:rPr>
        <w:t xml:space="preserve"> for circulation to members, is invited. Send to: </w:t>
      </w:r>
      <w:hyperlink r:id="rId227" w:history="1">
        <w:r w:rsidRPr="00BB5D46">
          <w:rPr>
            <w:rFonts w:eastAsia="Arial" w:cs="Times New Roman"/>
            <w:i/>
            <w:color w:val="0563C1"/>
            <w:u w:val="single"/>
          </w:rPr>
          <w:t>robert.cummins@deakin.edu.au</w:t>
        </w:r>
      </w:hyperlink>
    </w:p>
    <w:p w:rsidR="00CA4A49" w:rsidRPr="00BB5D46" w:rsidRDefault="00CA4A49" w:rsidP="00CA4A49">
      <w:pPr>
        <w:jc w:val="center"/>
        <w:rPr>
          <w:rFonts w:eastAsia="Arial" w:cs="Times New Roman"/>
          <w:i/>
        </w:rPr>
      </w:pPr>
      <w:r w:rsidRPr="00BB5D46">
        <w:rPr>
          <w:rFonts w:eastAsia="Arial" w:cs="Times New Roman"/>
          <w:i/>
        </w:rPr>
        <w:t xml:space="preserve">Substantive comments received by midnight on </w:t>
      </w:r>
      <w:r w:rsidRPr="00187E87">
        <w:rPr>
          <w:rFonts w:eastAsia="Arial" w:cs="Times New Roman"/>
          <w:i/>
        </w:rPr>
        <w:t xml:space="preserve">Monday </w:t>
      </w:r>
      <w:r w:rsidR="00187E87" w:rsidRPr="00187E87">
        <w:rPr>
          <w:rFonts w:eastAsia="Arial" w:cs="Times New Roman"/>
          <w:i/>
        </w:rPr>
        <w:t>8</w:t>
      </w:r>
      <w:r w:rsidR="00187E87" w:rsidRPr="00187E87">
        <w:rPr>
          <w:rFonts w:eastAsia="Arial" w:cs="Times New Roman"/>
          <w:i/>
          <w:vertAlign w:val="superscript"/>
        </w:rPr>
        <w:t>th</w:t>
      </w:r>
      <w:r w:rsidR="00187E87" w:rsidRPr="00187E87">
        <w:rPr>
          <w:rFonts w:eastAsia="Arial" w:cs="Times New Roman"/>
          <w:i/>
        </w:rPr>
        <w:t xml:space="preserve"> July </w:t>
      </w:r>
      <w:r w:rsidRPr="00187E87">
        <w:rPr>
          <w:rFonts w:eastAsia="Arial" w:cs="Times New Roman"/>
          <w:i/>
        </w:rPr>
        <w:t>Oz</w:t>
      </w:r>
      <w:r w:rsidRPr="00BB5D46">
        <w:rPr>
          <w:rFonts w:eastAsia="Arial" w:cs="Times New Roman"/>
          <w:i/>
        </w:rPr>
        <w:t xml:space="preserve"> time will be published in the following Bulletin. Such comments may offer a novel extension to the view that has been put, an alternative and informed view, or offer a critique.</w:t>
      </w:r>
    </w:p>
    <w:p w:rsidR="00CA4A49" w:rsidRPr="00BB5D46" w:rsidRDefault="00CA4A49" w:rsidP="00CA4A49">
      <w:pPr>
        <w:jc w:val="center"/>
        <w:rPr>
          <w:rFonts w:eastAsia="Arial" w:cs="Times New Roman"/>
          <w:i/>
        </w:rPr>
      </w:pPr>
    </w:p>
    <w:p w:rsidR="00CA4A49" w:rsidRPr="00187E87" w:rsidRDefault="00CA4A49" w:rsidP="00CA4A49">
      <w:pPr>
        <w:rPr>
          <w:rFonts w:eastAsia="Arial" w:cs="Times New Roman"/>
          <w:i/>
        </w:rPr>
      </w:pPr>
      <w:proofErr w:type="spellStart"/>
      <w:r w:rsidRPr="00BB5D46">
        <w:rPr>
          <w:rFonts w:eastAsia="Arial" w:cs="Times New Roman"/>
          <w:i/>
        </w:rPr>
        <w:t>ACQol</w:t>
      </w:r>
      <w:proofErr w:type="spellEnd"/>
      <w:r w:rsidRPr="00BB5D46">
        <w:rPr>
          <w:rFonts w:eastAsia="Arial" w:cs="Times New Roman"/>
          <w:i/>
        </w:rPr>
        <w:t xml:space="preserve"> members are invited to send papers on the topic of life quality, for distribution and discussion by members under these same conditions.</w:t>
      </w:r>
    </w:p>
    <w:p w:rsidR="00CA4A49" w:rsidRPr="00BB5D46" w:rsidRDefault="00CA4A49" w:rsidP="00187E87">
      <w:pPr>
        <w:rPr>
          <w:rFonts w:eastAsia="Arial" w:cs="Times New Roman"/>
          <w:b/>
          <w:color w:val="000000"/>
          <w:sz w:val="32"/>
          <w:szCs w:val="32"/>
          <w:lang w:val="en-US"/>
        </w:rPr>
      </w:pPr>
    </w:p>
    <w:p w:rsidR="00CA4A49" w:rsidRDefault="00CA4A49" w:rsidP="00CA4A49">
      <w:pPr>
        <w:jc w:val="center"/>
        <w:rPr>
          <w:rFonts w:eastAsia="Arial" w:cs="Times New Roman"/>
          <w:b/>
          <w:color w:val="000000"/>
          <w:sz w:val="32"/>
          <w:szCs w:val="32"/>
          <w:lang w:val="en-US"/>
        </w:rPr>
      </w:pPr>
      <w:r w:rsidRPr="00BB5D46">
        <w:rPr>
          <w:rFonts w:eastAsia="Arial" w:cs="Times New Roman"/>
          <w:b/>
          <w:color w:val="000000"/>
          <w:sz w:val="32"/>
          <w:szCs w:val="32"/>
          <w:lang w:val="en-US"/>
        </w:rPr>
        <w:t>Brief report</w:t>
      </w:r>
    </w:p>
    <w:p w:rsidR="00CA4A49" w:rsidRPr="004A2F62" w:rsidRDefault="00CA4A49" w:rsidP="00CA4A49">
      <w:pPr>
        <w:jc w:val="center"/>
        <w:rPr>
          <w:rFonts w:eastAsia="Calibri" w:cs="Times New Roman"/>
          <w:i/>
          <w:szCs w:val="22"/>
        </w:rPr>
      </w:pPr>
      <w:r w:rsidRPr="007F0718">
        <w:rPr>
          <w:rFonts w:eastAsia="Calibri" w:cs="Times New Roman"/>
          <w:i/>
          <w:szCs w:val="22"/>
        </w:rPr>
        <w:t>Sourced from the Analysis &amp; Policy Observatory</w:t>
      </w:r>
    </w:p>
    <w:p w:rsidR="00CA4A49" w:rsidRPr="00BB5D46" w:rsidRDefault="00CA4A49" w:rsidP="00CA4A49">
      <w:pPr>
        <w:jc w:val="center"/>
        <w:rPr>
          <w:rFonts w:eastAsia="Arial" w:cs="Times New Roman"/>
          <w:b/>
          <w:color w:val="000000"/>
          <w:sz w:val="32"/>
          <w:szCs w:val="32"/>
          <w:lang w:val="en-US"/>
        </w:rPr>
      </w:pPr>
    </w:p>
    <w:p w:rsidR="000D25A1" w:rsidRPr="000D25A1" w:rsidRDefault="000D25A1" w:rsidP="00CA4A49">
      <w:pPr>
        <w:rPr>
          <w:rFonts w:eastAsia="Arial" w:cs="Times New Roman"/>
          <w:b/>
          <w:color w:val="000000"/>
          <w:lang w:val="en-US"/>
        </w:rPr>
      </w:pPr>
      <w:r w:rsidRPr="000D25A1">
        <w:rPr>
          <w:rFonts w:eastAsia="Arial" w:cs="Times New Roman"/>
          <w:b/>
          <w:color w:val="000000"/>
          <w:lang w:val="en-US"/>
        </w:rPr>
        <w:t xml:space="preserve">UNHCR. (2019). Global trends: Forced displacement in 2018. Geneva: Author </w:t>
      </w:r>
    </w:p>
    <w:p w:rsidR="00CA4A49" w:rsidRDefault="000D25A1" w:rsidP="00CA4A49">
      <w:pPr>
        <w:rPr>
          <w:rFonts w:eastAsia="Arial" w:cs="Times New Roman"/>
          <w:color w:val="000000"/>
          <w:sz w:val="20"/>
          <w:szCs w:val="20"/>
          <w:lang w:val="en-US"/>
        </w:rPr>
      </w:pPr>
      <w:r w:rsidRPr="000D25A1">
        <w:rPr>
          <w:rFonts w:eastAsia="Arial" w:cs="Times New Roman"/>
          <w:color w:val="000000"/>
          <w:sz w:val="20"/>
          <w:szCs w:val="20"/>
          <w:lang w:val="en-US"/>
        </w:rPr>
        <w:t xml:space="preserve">h t </w:t>
      </w:r>
      <w:proofErr w:type="spellStart"/>
      <w:r w:rsidRPr="000D25A1">
        <w:rPr>
          <w:rFonts w:eastAsia="Arial" w:cs="Times New Roman"/>
          <w:color w:val="000000"/>
          <w:sz w:val="20"/>
          <w:szCs w:val="20"/>
          <w:lang w:val="en-US"/>
        </w:rPr>
        <w:t>t</w:t>
      </w:r>
      <w:proofErr w:type="spellEnd"/>
      <w:r w:rsidRPr="000D25A1">
        <w:rPr>
          <w:rFonts w:eastAsia="Arial" w:cs="Times New Roman"/>
          <w:color w:val="000000"/>
          <w:sz w:val="20"/>
          <w:szCs w:val="20"/>
          <w:lang w:val="en-US"/>
        </w:rPr>
        <w:t xml:space="preserve"> p </w:t>
      </w:r>
      <w:proofErr w:type="gramStart"/>
      <w:r w:rsidRPr="000D25A1">
        <w:rPr>
          <w:rFonts w:eastAsia="Arial" w:cs="Times New Roman"/>
          <w:color w:val="000000"/>
          <w:sz w:val="20"/>
          <w:szCs w:val="20"/>
          <w:lang w:val="en-US"/>
        </w:rPr>
        <w:t>s :</w:t>
      </w:r>
      <w:proofErr w:type="gramEnd"/>
      <w:r w:rsidRPr="000D25A1">
        <w:rPr>
          <w:rFonts w:eastAsia="Arial" w:cs="Times New Roman"/>
          <w:color w:val="000000"/>
          <w:sz w:val="20"/>
          <w:szCs w:val="20"/>
          <w:lang w:val="en-US"/>
        </w:rPr>
        <w:t xml:space="preserve"> / / a p o . o r </w:t>
      </w:r>
      <w:proofErr w:type="gramStart"/>
      <w:r w:rsidRPr="000D25A1">
        <w:rPr>
          <w:rFonts w:eastAsia="Arial" w:cs="Times New Roman"/>
          <w:color w:val="000000"/>
          <w:sz w:val="20"/>
          <w:szCs w:val="20"/>
          <w:lang w:val="en-US"/>
        </w:rPr>
        <w:t>g .</w:t>
      </w:r>
      <w:proofErr w:type="gramEnd"/>
      <w:r w:rsidRPr="000D25A1">
        <w:rPr>
          <w:rFonts w:eastAsia="Arial" w:cs="Times New Roman"/>
          <w:color w:val="000000"/>
          <w:sz w:val="20"/>
          <w:szCs w:val="20"/>
          <w:lang w:val="en-US"/>
        </w:rPr>
        <w:t xml:space="preserve"> a u / s </w:t>
      </w:r>
      <w:proofErr w:type="spellStart"/>
      <w:r w:rsidRPr="000D25A1">
        <w:rPr>
          <w:rFonts w:eastAsia="Arial" w:cs="Times New Roman"/>
          <w:color w:val="000000"/>
          <w:sz w:val="20"/>
          <w:szCs w:val="20"/>
          <w:lang w:val="en-US"/>
        </w:rPr>
        <w:t>i</w:t>
      </w:r>
      <w:proofErr w:type="spellEnd"/>
      <w:r w:rsidRPr="000D25A1">
        <w:rPr>
          <w:rFonts w:eastAsia="Arial" w:cs="Times New Roman"/>
          <w:color w:val="000000"/>
          <w:sz w:val="20"/>
          <w:szCs w:val="20"/>
          <w:lang w:val="en-US"/>
        </w:rPr>
        <w:t xml:space="preserve"> t e s / d e f a u l t / f </w:t>
      </w:r>
      <w:proofErr w:type="spellStart"/>
      <w:r w:rsidRPr="000D25A1">
        <w:rPr>
          <w:rFonts w:eastAsia="Arial" w:cs="Times New Roman"/>
          <w:color w:val="000000"/>
          <w:sz w:val="20"/>
          <w:szCs w:val="20"/>
          <w:lang w:val="en-US"/>
        </w:rPr>
        <w:t>i</w:t>
      </w:r>
      <w:proofErr w:type="spellEnd"/>
      <w:r w:rsidRPr="000D25A1">
        <w:rPr>
          <w:rFonts w:eastAsia="Arial" w:cs="Times New Roman"/>
          <w:color w:val="000000"/>
          <w:sz w:val="20"/>
          <w:szCs w:val="20"/>
          <w:lang w:val="en-US"/>
        </w:rPr>
        <w:t xml:space="preserve"> l e s / r e s o u r c e - f </w:t>
      </w:r>
      <w:proofErr w:type="spellStart"/>
      <w:r w:rsidRPr="000D25A1">
        <w:rPr>
          <w:rFonts w:eastAsia="Arial" w:cs="Times New Roman"/>
          <w:color w:val="000000"/>
          <w:sz w:val="20"/>
          <w:szCs w:val="20"/>
          <w:lang w:val="en-US"/>
        </w:rPr>
        <w:t>i</w:t>
      </w:r>
      <w:proofErr w:type="spellEnd"/>
      <w:r w:rsidRPr="000D25A1">
        <w:rPr>
          <w:rFonts w:eastAsia="Arial" w:cs="Times New Roman"/>
          <w:color w:val="000000"/>
          <w:sz w:val="20"/>
          <w:szCs w:val="20"/>
          <w:lang w:val="en-US"/>
        </w:rPr>
        <w:t xml:space="preserve"> l e s / 2 0 1 9 / 0 6 / a p o -n </w:t>
      </w:r>
      <w:proofErr w:type="spellStart"/>
      <w:r w:rsidRPr="000D25A1">
        <w:rPr>
          <w:rFonts w:eastAsia="Arial" w:cs="Times New Roman"/>
          <w:color w:val="000000"/>
          <w:sz w:val="20"/>
          <w:szCs w:val="20"/>
          <w:lang w:val="en-US"/>
        </w:rPr>
        <w:t>i</w:t>
      </w:r>
      <w:proofErr w:type="spellEnd"/>
      <w:r w:rsidRPr="000D25A1">
        <w:rPr>
          <w:rFonts w:eastAsia="Arial" w:cs="Times New Roman"/>
          <w:color w:val="000000"/>
          <w:sz w:val="20"/>
          <w:szCs w:val="20"/>
          <w:lang w:val="en-US"/>
        </w:rPr>
        <w:t xml:space="preserve"> d 2 4 2 9 5 6 - 1 3 6 7 6 1 1 . p d f.</w:t>
      </w:r>
    </w:p>
    <w:p w:rsidR="000D25A1" w:rsidRDefault="000D25A1" w:rsidP="00CA4A49">
      <w:pPr>
        <w:rPr>
          <w:rFonts w:eastAsia="Arial" w:cs="Times New Roman"/>
          <w:color w:val="000000"/>
          <w:sz w:val="20"/>
          <w:szCs w:val="20"/>
          <w:lang w:val="en-US"/>
        </w:rPr>
      </w:pPr>
    </w:p>
    <w:p w:rsidR="00CA4A49" w:rsidRDefault="00D22B9F" w:rsidP="005C3CF3">
      <w:pPr>
        <w:rPr>
          <w:rFonts w:eastAsia="Arial" w:cs="Times New Roman"/>
          <w:color w:val="000000"/>
        </w:rPr>
      </w:pPr>
      <w:r w:rsidRPr="005C3CF3">
        <w:rPr>
          <w:rFonts w:eastAsia="Arial" w:cs="Times New Roman"/>
          <w:color w:val="000000"/>
        </w:rPr>
        <w:t>Over the past decade, the global population of</w:t>
      </w:r>
      <w:r w:rsidR="005C3CF3" w:rsidRPr="005C3CF3">
        <w:rPr>
          <w:rFonts w:eastAsia="Arial" w:cs="Times New Roman"/>
          <w:color w:val="000000"/>
        </w:rPr>
        <w:t xml:space="preserve"> </w:t>
      </w:r>
      <w:r w:rsidRPr="005C3CF3">
        <w:rPr>
          <w:rFonts w:eastAsia="Arial" w:cs="Times New Roman"/>
          <w:color w:val="000000"/>
        </w:rPr>
        <w:t>forcibly displaced people grew substantially from</w:t>
      </w:r>
      <w:r w:rsidR="005C3CF3">
        <w:rPr>
          <w:rFonts w:eastAsia="Arial" w:cs="Times New Roman"/>
          <w:color w:val="000000"/>
        </w:rPr>
        <w:t xml:space="preserve"> </w:t>
      </w:r>
      <w:r w:rsidRPr="005C3CF3">
        <w:rPr>
          <w:rFonts w:eastAsia="Arial" w:cs="Times New Roman"/>
          <w:color w:val="000000"/>
        </w:rPr>
        <w:t>43.3 million in 2009 to 70.8 million in 2018, reaching</w:t>
      </w:r>
      <w:r w:rsidR="005C3CF3">
        <w:rPr>
          <w:rFonts w:eastAsia="Arial" w:cs="Times New Roman"/>
          <w:color w:val="000000"/>
        </w:rPr>
        <w:t xml:space="preserve"> </w:t>
      </w:r>
      <w:r w:rsidRPr="005C3CF3">
        <w:rPr>
          <w:rFonts w:eastAsia="Arial" w:cs="Times New Roman"/>
          <w:color w:val="000000"/>
        </w:rPr>
        <w:t>a record hig</w:t>
      </w:r>
      <w:r w:rsidR="005C3CF3">
        <w:rPr>
          <w:rFonts w:eastAsia="Arial" w:cs="Times New Roman"/>
          <w:color w:val="000000"/>
        </w:rPr>
        <w:t xml:space="preserve">h. </w:t>
      </w:r>
      <w:r w:rsidRPr="005C3CF3">
        <w:rPr>
          <w:rFonts w:eastAsia="Arial" w:cs="Times New Roman"/>
          <w:color w:val="000000"/>
        </w:rPr>
        <w:t>Most of this increase was</w:t>
      </w:r>
      <w:r w:rsidR="005C3CF3">
        <w:rPr>
          <w:rFonts w:eastAsia="Arial" w:cs="Times New Roman"/>
          <w:color w:val="000000"/>
        </w:rPr>
        <w:t xml:space="preserve"> </w:t>
      </w:r>
      <w:r w:rsidRPr="005C3CF3">
        <w:rPr>
          <w:rFonts w:eastAsia="Arial" w:cs="Times New Roman"/>
          <w:color w:val="000000"/>
        </w:rPr>
        <w:t>between 2012 and 2015, driven mainly by the Syrian</w:t>
      </w:r>
      <w:r w:rsidR="005C3CF3">
        <w:rPr>
          <w:rFonts w:eastAsia="Arial" w:cs="Times New Roman"/>
          <w:color w:val="000000"/>
        </w:rPr>
        <w:t xml:space="preserve"> </w:t>
      </w:r>
      <w:r w:rsidRPr="005C3CF3">
        <w:rPr>
          <w:rFonts w:eastAsia="Arial" w:cs="Times New Roman"/>
          <w:color w:val="000000"/>
        </w:rPr>
        <w:t>conflict. But conflicts in other areas also contributed</w:t>
      </w:r>
      <w:r w:rsidR="005C3CF3">
        <w:rPr>
          <w:rFonts w:eastAsia="Arial" w:cs="Times New Roman"/>
          <w:color w:val="000000"/>
        </w:rPr>
        <w:t xml:space="preserve"> </w:t>
      </w:r>
      <w:r w:rsidRPr="005C3CF3">
        <w:rPr>
          <w:rFonts w:eastAsia="Arial" w:cs="Times New Roman"/>
          <w:color w:val="000000"/>
        </w:rPr>
        <w:t>to this rise, including in the Middle East such as in</w:t>
      </w:r>
      <w:r w:rsidR="005C3CF3">
        <w:rPr>
          <w:rFonts w:eastAsia="Arial" w:cs="Times New Roman"/>
          <w:color w:val="000000"/>
        </w:rPr>
        <w:t xml:space="preserve"> </w:t>
      </w:r>
      <w:r w:rsidRPr="005C3CF3">
        <w:rPr>
          <w:rFonts w:eastAsia="Arial" w:cs="Times New Roman"/>
          <w:color w:val="000000"/>
        </w:rPr>
        <w:t>Iraq and Yemen, parts of sub-Saharan Africa such as</w:t>
      </w:r>
      <w:r w:rsidR="005C3CF3">
        <w:rPr>
          <w:rFonts w:eastAsia="Arial" w:cs="Times New Roman"/>
          <w:color w:val="000000"/>
        </w:rPr>
        <w:t xml:space="preserve"> </w:t>
      </w:r>
      <w:r w:rsidRPr="005C3CF3">
        <w:rPr>
          <w:rFonts w:eastAsia="Arial" w:cs="Times New Roman"/>
          <w:color w:val="000000"/>
        </w:rPr>
        <w:t>the Democratic Republic of the Congo (DRC) and</w:t>
      </w:r>
      <w:r w:rsidR="005C3CF3">
        <w:rPr>
          <w:rFonts w:eastAsia="Arial" w:cs="Times New Roman"/>
          <w:color w:val="000000"/>
        </w:rPr>
        <w:t xml:space="preserve"> </w:t>
      </w:r>
      <w:r w:rsidRPr="005C3CF3">
        <w:rPr>
          <w:rFonts w:eastAsia="Arial" w:cs="Times New Roman"/>
          <w:color w:val="000000"/>
        </w:rPr>
        <w:t>South Sudan, as well as the massive flow of</w:t>
      </w:r>
      <w:r w:rsidR="005C3CF3">
        <w:rPr>
          <w:rFonts w:eastAsia="Arial" w:cs="Times New Roman"/>
          <w:color w:val="000000"/>
        </w:rPr>
        <w:t xml:space="preserve"> </w:t>
      </w:r>
      <w:proofErr w:type="spellStart"/>
      <w:r w:rsidRPr="005C3CF3">
        <w:rPr>
          <w:rFonts w:eastAsia="Arial" w:cs="Times New Roman"/>
          <w:color w:val="000000"/>
        </w:rPr>
        <w:t>Rohingya</w:t>
      </w:r>
      <w:proofErr w:type="spellEnd"/>
      <w:r w:rsidRPr="005C3CF3">
        <w:rPr>
          <w:rFonts w:eastAsia="Arial" w:cs="Times New Roman"/>
          <w:color w:val="000000"/>
        </w:rPr>
        <w:t xml:space="preserve"> refugees to Bangladesh at the end of 2017.</w:t>
      </w:r>
      <w:r w:rsidR="005C3CF3">
        <w:rPr>
          <w:rFonts w:eastAsia="Arial" w:cs="Times New Roman"/>
          <w:color w:val="000000"/>
        </w:rPr>
        <w:t xml:space="preserve"> Overall, the </w:t>
      </w:r>
      <w:r w:rsidR="005C3CF3" w:rsidRPr="005C3CF3">
        <w:rPr>
          <w:rFonts w:eastAsia="Arial" w:cs="Times New Roman"/>
          <w:color w:val="000000"/>
        </w:rPr>
        <w:t>refugee population under UNHCR’s mandate has</w:t>
      </w:r>
      <w:r w:rsidR="005C3CF3">
        <w:rPr>
          <w:rFonts w:eastAsia="Arial" w:cs="Times New Roman"/>
          <w:color w:val="000000"/>
        </w:rPr>
        <w:t xml:space="preserve"> </w:t>
      </w:r>
      <w:r w:rsidR="005C3CF3" w:rsidRPr="005C3CF3">
        <w:rPr>
          <w:rFonts w:eastAsia="Arial" w:cs="Times New Roman"/>
          <w:color w:val="000000"/>
        </w:rPr>
        <w:t xml:space="preserve">nearly doubled since </w:t>
      </w:r>
      <w:r w:rsidR="000D25A1">
        <w:rPr>
          <w:rFonts w:eastAsia="Arial" w:cs="Times New Roman"/>
          <w:color w:val="000000"/>
        </w:rPr>
        <w:t>2012.</w:t>
      </w:r>
    </w:p>
    <w:p w:rsidR="00CA4A49" w:rsidRDefault="00CA4A49" w:rsidP="00301EBC">
      <w:pPr>
        <w:rPr>
          <w:rFonts w:ascii="Helvetica" w:hAnsi="Helvetica" w:cs="Helvetica"/>
          <w:sz w:val="18"/>
          <w:szCs w:val="18"/>
        </w:rPr>
      </w:pPr>
    </w:p>
    <w:p w:rsidR="00CA4A49" w:rsidRPr="00CB131A" w:rsidRDefault="00CA4A49" w:rsidP="00CA4A49">
      <w:pPr>
        <w:jc w:val="center"/>
        <w:rPr>
          <w:rFonts w:eastAsia="Arial" w:cs="Times New Roman"/>
          <w:b/>
          <w:sz w:val="32"/>
          <w:szCs w:val="32"/>
        </w:rPr>
      </w:pPr>
      <w:r w:rsidRPr="00BB5D46">
        <w:rPr>
          <w:rFonts w:eastAsia="Arial" w:cs="Times New Roman"/>
          <w:b/>
          <w:sz w:val="32"/>
          <w:szCs w:val="32"/>
        </w:rPr>
        <w:t>Media news</w:t>
      </w:r>
    </w:p>
    <w:p w:rsidR="00CA4A49" w:rsidRPr="00CB131A" w:rsidRDefault="00CA4A49" w:rsidP="00CA4A49">
      <w:pPr>
        <w:jc w:val="center"/>
        <w:rPr>
          <w:rFonts w:eastAsia="Arial" w:cs="Times New Roman"/>
          <w:i/>
        </w:rPr>
      </w:pPr>
      <w:r w:rsidRPr="00CB131A">
        <w:rPr>
          <w:rFonts w:eastAsia="Arial" w:cs="Times New Roman"/>
          <w:i/>
        </w:rPr>
        <w:t>Tanika Roberts [</w:t>
      </w:r>
      <w:hyperlink r:id="rId228" w:history="1">
        <w:r w:rsidRPr="00CB131A">
          <w:rPr>
            <w:rStyle w:val="Hyperlink"/>
            <w:rFonts w:eastAsia="Arial" w:cs="Times New Roman"/>
            <w:i/>
          </w:rPr>
          <w:t>trobe@deakin.edu.au</w:t>
        </w:r>
      </w:hyperlink>
      <w:r w:rsidRPr="00CB131A">
        <w:rPr>
          <w:rFonts w:eastAsia="Arial" w:cs="Times New Roman"/>
          <w:i/>
        </w:rPr>
        <w:t>]</w:t>
      </w:r>
    </w:p>
    <w:p w:rsidR="00CA4A49" w:rsidRPr="00CB131A" w:rsidRDefault="00CA4A49" w:rsidP="00CA4A49">
      <w:pPr>
        <w:jc w:val="center"/>
        <w:rPr>
          <w:rFonts w:eastAsia="Arial" w:cs="Times New Roman"/>
          <w:i/>
        </w:rPr>
      </w:pPr>
      <w:r w:rsidRPr="00CB131A">
        <w:rPr>
          <w:rFonts w:eastAsia="Arial" w:cs="Times New Roman"/>
          <w:i/>
        </w:rPr>
        <w:t>Executive Volunteer, Bulletin Co-Editor– Media</w:t>
      </w:r>
    </w:p>
    <w:p w:rsidR="00BD12FA" w:rsidRDefault="00BD12FA" w:rsidP="000D25A1">
      <w:pPr>
        <w:pStyle w:val="Heading1"/>
        <w:shd w:val="clear" w:color="auto" w:fill="FFFFFF"/>
        <w:spacing w:before="0"/>
        <w:rPr>
          <w:rFonts w:ascii="Times New Roman" w:eastAsia="Times New Roman" w:hAnsi="Times New Roman" w:cs="Times New Roman"/>
          <w:b/>
          <w:color w:val="212529"/>
          <w:sz w:val="24"/>
          <w:szCs w:val="24"/>
        </w:rPr>
      </w:pPr>
    </w:p>
    <w:p w:rsidR="0072451D" w:rsidRPr="00BD12FA" w:rsidRDefault="0072451D" w:rsidP="000D25A1">
      <w:pPr>
        <w:pStyle w:val="Heading1"/>
        <w:shd w:val="clear" w:color="auto" w:fill="FFFFFF"/>
        <w:spacing w:before="0"/>
        <w:rPr>
          <w:rFonts w:ascii="Times New Roman" w:eastAsia="Times New Roman" w:hAnsi="Times New Roman" w:cs="Times New Roman"/>
          <w:b/>
          <w:sz w:val="24"/>
          <w:szCs w:val="24"/>
        </w:rPr>
      </w:pPr>
      <w:r w:rsidRPr="00BD12FA">
        <w:rPr>
          <w:rFonts w:ascii="Times New Roman" w:eastAsia="Times New Roman" w:hAnsi="Times New Roman" w:cs="Times New Roman"/>
          <w:b/>
          <w:color w:val="212529"/>
          <w:sz w:val="24"/>
          <w:szCs w:val="24"/>
        </w:rPr>
        <w:t>Science Says Silence Is Much More Important to Our Brains Than We Think</w:t>
      </w:r>
    </w:p>
    <w:p w:rsidR="0072451D" w:rsidRPr="00BD12FA" w:rsidRDefault="0072451D" w:rsidP="000D25A1">
      <w:pPr>
        <w:pStyle w:val="Heading1"/>
        <w:shd w:val="clear" w:color="auto" w:fill="FFFFFF"/>
        <w:spacing w:before="0"/>
        <w:rPr>
          <w:rFonts w:ascii="Times New Roman" w:eastAsia="Times New Roman" w:hAnsi="Times New Roman" w:cs="Times New Roman"/>
          <w:sz w:val="24"/>
          <w:szCs w:val="24"/>
        </w:rPr>
      </w:pPr>
      <w:r w:rsidRPr="00BD12FA">
        <w:rPr>
          <w:rFonts w:ascii="Times New Roman" w:eastAsia="Times New Roman" w:hAnsi="Times New Roman" w:cs="Times New Roman"/>
          <w:b/>
          <w:bCs/>
          <w:sz w:val="24"/>
          <w:szCs w:val="24"/>
        </w:rPr>
        <w:t>REBECCA BERIS | 6 June 2019</w:t>
      </w:r>
    </w:p>
    <w:p w:rsidR="0072451D" w:rsidRPr="0072451D" w:rsidRDefault="00DF3874" w:rsidP="0072451D">
      <w:pPr>
        <w:spacing w:before="100" w:beforeAutospacing="1" w:after="100" w:afterAutospacing="1"/>
        <w:rPr>
          <w:rFonts w:cs="Times New Roman"/>
        </w:rPr>
      </w:pPr>
      <w:hyperlink r:id="rId229" w:history="1">
        <w:r w:rsidR="0072451D" w:rsidRPr="009771E3">
          <w:rPr>
            <w:rStyle w:val="Hyperlink"/>
            <w:rFonts w:cs="Times New Roman"/>
          </w:rPr>
          <w:t>https://www.lifehack.org/377243/science-says-silence-much-more-important-our-brains-thanthought?fbclid=IwAR2Xru9ya8TK_AyJmy3G2_70Ef0JQVUMYwXPWsZjRRDrn0sLamL2qOGtqvM</w:t>
        </w:r>
      </w:hyperlink>
    </w:p>
    <w:p w:rsidR="00187E87" w:rsidRPr="009F38F6" w:rsidRDefault="0072451D" w:rsidP="009F38F6">
      <w:pPr>
        <w:spacing w:before="100" w:beforeAutospacing="1" w:after="100" w:afterAutospacing="1"/>
        <w:rPr>
          <w:rFonts w:cs="Times New Roman"/>
        </w:rPr>
      </w:pPr>
      <w:r w:rsidRPr="0072451D">
        <w:rPr>
          <w:rFonts w:cs="Times New Roman"/>
          <w:color w:val="212529"/>
          <w:shd w:val="clear" w:color="auto" w:fill="FFFFFF"/>
        </w:rPr>
        <w:t xml:space="preserve">As the world around becomes increasingly loud and cluttered you may find yourself seeking out the reprieve that silent places and silence have to offer. Studies are showing that silence is much more important to your brains than you might think. </w:t>
      </w:r>
      <w:r w:rsidRPr="0072451D">
        <w:rPr>
          <w:rFonts w:cs="Times New Roman"/>
          <w:color w:val="212529"/>
        </w:rPr>
        <w:t xml:space="preserve">The effect that noise pollution can have on cognitive task performance has been extensively studied. It has been found that noise harms task performance at work and school. It can also be the cause of decreased motivation and an increase in error making.  The cognitive functions most strongly affected by noise are reading attention, memory and problem solving. </w:t>
      </w:r>
      <w:r w:rsidRPr="0072451D">
        <w:rPr>
          <w:rFonts w:cs="Times New Roman"/>
          <w:color w:val="212529"/>
          <w:shd w:val="clear" w:color="auto" w:fill="FFFFFF"/>
        </w:rPr>
        <w:t>This article discusses some of the incredible findings of the impact of silence on the structure and function of our brains.</w:t>
      </w:r>
    </w:p>
    <w:p w:rsidR="00CA4A49" w:rsidRDefault="00CA4A49" w:rsidP="00CA4A49">
      <w:pPr>
        <w:jc w:val="center"/>
        <w:rPr>
          <w:rFonts w:eastAsia="Times New Roman" w:cs="Times New Roman"/>
          <w:b/>
          <w:sz w:val="32"/>
          <w:szCs w:val="32"/>
          <w:lang w:val="en-US"/>
        </w:rPr>
      </w:pPr>
      <w:r>
        <w:rPr>
          <w:rFonts w:eastAsia="Times New Roman" w:cs="Times New Roman"/>
          <w:b/>
          <w:sz w:val="32"/>
          <w:szCs w:val="32"/>
          <w:lang w:val="en-US"/>
        </w:rPr>
        <w:t xml:space="preserve">Report from Google Analytics for the </w:t>
      </w:r>
      <w:proofErr w:type="spellStart"/>
      <w:r>
        <w:rPr>
          <w:rFonts w:eastAsia="Times New Roman" w:cs="Times New Roman"/>
          <w:b/>
          <w:sz w:val="32"/>
          <w:szCs w:val="32"/>
          <w:lang w:val="en-US"/>
        </w:rPr>
        <w:t>ACQol</w:t>
      </w:r>
      <w:proofErr w:type="spellEnd"/>
      <w:r>
        <w:rPr>
          <w:rFonts w:eastAsia="Times New Roman" w:cs="Times New Roman"/>
          <w:b/>
          <w:sz w:val="32"/>
          <w:szCs w:val="32"/>
          <w:lang w:val="en-US"/>
        </w:rPr>
        <w:t xml:space="preserve"> site</w:t>
      </w:r>
    </w:p>
    <w:p w:rsidR="00CA4A49" w:rsidRDefault="00CA4A49" w:rsidP="00CA4A49">
      <w:pPr>
        <w:jc w:val="center"/>
        <w:rPr>
          <w:rFonts w:eastAsia="Times New Roman" w:cs="Times New Roman"/>
          <w:lang w:eastAsia="en-AU"/>
        </w:rPr>
      </w:pPr>
      <w:r>
        <w:rPr>
          <w:rFonts w:eastAsia="Times New Roman" w:cs="Times New Roman"/>
          <w:lang w:eastAsia="en-AU"/>
        </w:rPr>
        <w:t xml:space="preserve">Inclusive period: </w:t>
      </w:r>
      <w:r w:rsidR="009F38F6">
        <w:rPr>
          <w:rFonts w:eastAsia="Times New Roman" w:cs="Times New Roman"/>
          <w:lang w:eastAsia="en-AU"/>
        </w:rPr>
        <w:t>June</w:t>
      </w:r>
      <w:r>
        <w:rPr>
          <w:rFonts w:eastAsia="Times New Roman" w:cs="Times New Roman"/>
          <w:lang w:eastAsia="en-AU"/>
        </w:rPr>
        <w:t xml:space="preserve"> 2019</w:t>
      </w:r>
    </w:p>
    <w:p w:rsidR="00CA4A49" w:rsidRDefault="00CA4A49" w:rsidP="00CA4A49">
      <w:pPr>
        <w:jc w:val="center"/>
        <w:rPr>
          <w:rFonts w:eastAsia="Times New Roman" w:cs="Times New Roman"/>
          <w:lang w:eastAsia="en-AU"/>
        </w:rPr>
      </w:pPr>
      <w:r>
        <w:rPr>
          <w:rFonts w:eastAsia="Times New Roman" w:cs="Times New Roman"/>
          <w:lang w:eastAsia="en-AU"/>
        </w:rPr>
        <w:t xml:space="preserve">Number of users = </w:t>
      </w:r>
      <w:r w:rsidR="009F38F6">
        <w:rPr>
          <w:rFonts w:eastAsia="Times New Roman" w:cs="Times New Roman"/>
          <w:lang w:eastAsia="en-AU"/>
        </w:rPr>
        <w:t>719</w:t>
      </w:r>
    </w:p>
    <w:p w:rsidR="000D25A1" w:rsidRPr="0062086B" w:rsidRDefault="000D25A1" w:rsidP="00CA4A49">
      <w:pPr>
        <w:jc w:val="center"/>
        <w:rPr>
          <w:rFonts w:eastAsia="Times New Roman" w:cs="Times New Roman"/>
          <w:lang w:eastAsia="en-AU"/>
        </w:rPr>
      </w:pPr>
    </w:p>
    <w:p w:rsidR="00CA4A49" w:rsidRPr="00BB5D46" w:rsidRDefault="00CA4A49" w:rsidP="00CA4A49">
      <w:pPr>
        <w:jc w:val="center"/>
        <w:rPr>
          <w:rFonts w:eastAsia="Times New Roman" w:cs="Times New Roman"/>
          <w:b/>
          <w:sz w:val="32"/>
          <w:szCs w:val="32"/>
          <w:lang w:val="en-US"/>
        </w:rPr>
      </w:pPr>
      <w:r w:rsidRPr="00BB5D46">
        <w:rPr>
          <w:rFonts w:eastAsia="Times New Roman" w:cs="Times New Roman"/>
          <w:b/>
          <w:sz w:val="32"/>
          <w:szCs w:val="32"/>
          <w:lang w:val="en-US"/>
        </w:rPr>
        <w:t>Membership changes</w:t>
      </w:r>
    </w:p>
    <w:p w:rsidR="00CA4A49" w:rsidRDefault="00CA4A49" w:rsidP="00CA4A49">
      <w:pPr>
        <w:jc w:val="center"/>
        <w:rPr>
          <w:rFonts w:eastAsia="Calibri" w:cs="Times New Roman"/>
          <w:szCs w:val="22"/>
        </w:rPr>
      </w:pPr>
      <w:r w:rsidRPr="00891D54">
        <w:rPr>
          <w:rFonts w:eastAsia="Calibri" w:cs="Times New Roman"/>
          <w:szCs w:val="22"/>
        </w:rPr>
        <w:t xml:space="preserve">Simone Thomas </w:t>
      </w:r>
      <w:r>
        <w:rPr>
          <w:rFonts w:eastAsia="Calibri" w:cs="Times New Roman"/>
          <w:szCs w:val="22"/>
        </w:rPr>
        <w:fldChar w:fldCharType="begin"/>
      </w:r>
      <w:r>
        <w:rPr>
          <w:rFonts w:eastAsia="Calibri" w:cs="Times New Roman"/>
          <w:szCs w:val="22"/>
        </w:rPr>
        <w:instrText xml:space="preserve">simonet@deakin.edu.au" </w:instrText>
      </w:r>
      <w:r>
        <w:rPr>
          <w:rFonts w:eastAsia="Calibri" w:cs="Times New Roman"/>
          <w:szCs w:val="22"/>
        </w:rPr>
        <w:fldChar w:fldCharType="separate"/>
      </w:r>
      <w:r w:rsidRPr="00B56AC3">
        <w:rPr>
          <w:rFonts w:eastAsia="Calibri" w:cs="Times New Roman"/>
          <w:szCs w:val="22"/>
        </w:rPr>
        <w:t>simonet@deakin.edu.au</w:t>
      </w:r>
      <w:r>
        <w:rPr>
          <w:rFonts w:eastAsia="Calibri" w:cs="Times New Roman"/>
          <w:szCs w:val="22"/>
        </w:rPr>
        <w:fldChar w:fldCharType="end"/>
      </w:r>
    </w:p>
    <w:p w:rsidR="00CA4A49" w:rsidRPr="00BB5D46" w:rsidRDefault="00CA4A49" w:rsidP="00CA4A49">
      <w:pPr>
        <w:jc w:val="center"/>
        <w:rPr>
          <w:rFonts w:eastAsia="Calibri" w:cs="Times New Roman"/>
          <w:i/>
          <w:szCs w:val="22"/>
        </w:rPr>
      </w:pPr>
      <w:r w:rsidRPr="00BB5D46">
        <w:rPr>
          <w:rFonts w:eastAsia="Calibri" w:cs="Times New Roman"/>
          <w:i/>
          <w:szCs w:val="22"/>
        </w:rPr>
        <w:t>Membership Registrar</w:t>
      </w:r>
    </w:p>
    <w:p w:rsidR="00CA4A49" w:rsidRPr="00BB5D46" w:rsidRDefault="00CA4A49" w:rsidP="00CA4A49">
      <w:pPr>
        <w:rPr>
          <w:rFonts w:eastAsia="Calibri" w:cs="Times New Roman"/>
          <w:i/>
          <w:szCs w:val="22"/>
        </w:rPr>
      </w:pPr>
      <w:r w:rsidRPr="00BB5D46">
        <w:rPr>
          <w:rFonts w:eastAsia="Times New Roman" w:cs="Times New Roman"/>
          <w:b/>
          <w:sz w:val="32"/>
          <w:szCs w:val="32"/>
          <w:lang w:val="en-US"/>
        </w:rPr>
        <w:t>Welcome to new members</w:t>
      </w:r>
    </w:p>
    <w:p w:rsidR="00E52F93" w:rsidRPr="00E52F93" w:rsidRDefault="00DF3874"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hyperlink r:id="rId230" w:history="1">
        <w:r w:rsidR="00E52F93" w:rsidRPr="00E52F93">
          <w:rPr>
            <w:rFonts w:eastAsia="Times New Roman" w:cs="Helvetica"/>
            <w:color w:val="0000FF"/>
            <w:u w:val="single"/>
            <w:lang w:val="en"/>
          </w:rPr>
          <w:t>Mrs Calista Castles</w:t>
        </w:r>
      </w:hyperlink>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r w:rsidRPr="00E52F93">
        <w:rPr>
          <w:rFonts w:eastAsia="Times New Roman" w:cs="Helvetica"/>
          <w:lang w:val="en"/>
        </w:rPr>
        <w:t>Masters Candidate, University of Southern Queensland</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r w:rsidRPr="00E52F93">
        <w:rPr>
          <w:rFonts w:eastAsia="Times New Roman" w:cs="Helvetica"/>
          <w:b/>
          <w:bCs/>
          <w:sz w:val="20"/>
          <w:szCs w:val="20"/>
          <w:lang w:val="en"/>
        </w:rPr>
        <w:t>Keywords:</w:t>
      </w:r>
      <w:r w:rsidRPr="00E52F93">
        <w:rPr>
          <w:rFonts w:eastAsia="Times New Roman" w:cs="Helvetica"/>
          <w:sz w:val="20"/>
          <w:szCs w:val="20"/>
          <w:lang w:val="en"/>
        </w:rPr>
        <w:t xml:space="preserve"> Developmental Disabilities, Delay Discounting, Safety Climate and Safety Culture</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p>
    <w:p w:rsidR="00E52F93" w:rsidRPr="00E52F93" w:rsidRDefault="00DF3874"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lang w:val="en"/>
        </w:rPr>
      </w:pPr>
      <w:hyperlink r:id="rId231" w:history="1">
        <w:r w:rsidR="00E52F93" w:rsidRPr="00E52F93">
          <w:rPr>
            <w:rFonts w:eastAsia="Times New Roman" w:cs="Times New Roman"/>
            <w:color w:val="0000FF"/>
            <w:u w:val="single"/>
            <w:lang w:val="en"/>
          </w:rPr>
          <w:t>Dr Aurelie Charles</w:t>
        </w:r>
      </w:hyperlink>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lang w:val="en"/>
        </w:rPr>
      </w:pPr>
      <w:r w:rsidRPr="00E52F93">
        <w:rPr>
          <w:rFonts w:eastAsia="Times New Roman" w:cs="Times New Roman"/>
          <w:lang w:val="en"/>
        </w:rPr>
        <w:t>Lecturer, University of Bath, UK</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sz w:val="20"/>
          <w:szCs w:val="20"/>
          <w:lang w:val="en"/>
        </w:rPr>
      </w:pPr>
      <w:r w:rsidRPr="00E52F93">
        <w:rPr>
          <w:rFonts w:eastAsia="Times New Roman" w:cs="Times New Roman"/>
          <w:b/>
          <w:bCs/>
          <w:sz w:val="20"/>
          <w:szCs w:val="20"/>
          <w:lang w:val="en"/>
        </w:rPr>
        <w:t>Keywords:</w:t>
      </w:r>
      <w:r w:rsidRPr="00E52F93">
        <w:rPr>
          <w:rFonts w:eastAsia="Times New Roman" w:cs="Times New Roman"/>
          <w:sz w:val="20"/>
          <w:szCs w:val="20"/>
          <w:lang w:val="en"/>
        </w:rPr>
        <w:t xml:space="preserve"> group </w:t>
      </w:r>
      <w:proofErr w:type="spellStart"/>
      <w:r w:rsidRPr="00E52F93">
        <w:rPr>
          <w:rFonts w:eastAsia="Times New Roman" w:cs="Times New Roman"/>
          <w:sz w:val="20"/>
          <w:szCs w:val="20"/>
          <w:lang w:val="en"/>
        </w:rPr>
        <w:t>behaviour</w:t>
      </w:r>
      <w:proofErr w:type="spellEnd"/>
      <w:r w:rsidRPr="00E52F93">
        <w:rPr>
          <w:rFonts w:eastAsia="Times New Roman" w:cs="Times New Roman"/>
          <w:sz w:val="20"/>
          <w:szCs w:val="20"/>
          <w:lang w:val="en"/>
        </w:rPr>
        <w:t>, social norms, cognitive biases, identity, ecological self</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Times New Roman"/>
          <w:sz w:val="20"/>
          <w:szCs w:val="20"/>
          <w:lang w:val="en"/>
        </w:rPr>
      </w:pPr>
    </w:p>
    <w:p w:rsidR="00E52F93" w:rsidRPr="00E52F93" w:rsidRDefault="00DF3874"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hyperlink r:id="rId232" w:history="1">
        <w:r w:rsidR="00E52F93" w:rsidRPr="00E52F93">
          <w:rPr>
            <w:rFonts w:eastAsia="Times New Roman" w:cs="Helvetica"/>
            <w:color w:val="0000FF"/>
            <w:u w:val="single"/>
            <w:lang w:val="en"/>
          </w:rPr>
          <w:t>Dr. Weiyun Chen</w:t>
        </w:r>
      </w:hyperlink>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r w:rsidRPr="00E52F93">
        <w:rPr>
          <w:rFonts w:eastAsia="Times New Roman" w:cs="Helvetica"/>
          <w:lang w:val="en"/>
        </w:rPr>
        <w:t>Associate Professor, University of Michigan, University of Michigan, USA</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r w:rsidRPr="00E52F93">
        <w:rPr>
          <w:rFonts w:eastAsia="Times New Roman" w:cs="Helvetica"/>
          <w:b/>
          <w:bCs/>
          <w:sz w:val="20"/>
          <w:szCs w:val="20"/>
          <w:lang w:val="en"/>
        </w:rPr>
        <w:t>Keywords:</w:t>
      </w:r>
      <w:r w:rsidRPr="00E52F93">
        <w:rPr>
          <w:rFonts w:eastAsia="Times New Roman" w:cs="Helvetica"/>
          <w:sz w:val="20"/>
          <w:szCs w:val="20"/>
          <w:lang w:val="en"/>
        </w:rPr>
        <w:t xml:space="preserve"> Physical activity, Psychological Well-being, Executive Function, Physical Fitness, Motor Skills</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p>
    <w:p w:rsidR="00E52F93" w:rsidRPr="00E52F93" w:rsidRDefault="00DF3874"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hyperlink r:id="rId233" w:history="1">
        <w:r w:rsidR="00E52F93" w:rsidRPr="00E52F93">
          <w:rPr>
            <w:rFonts w:eastAsia="Times New Roman" w:cs="Helvetica"/>
            <w:color w:val="0000FF"/>
            <w:u w:val="single"/>
            <w:lang w:val="en"/>
          </w:rPr>
          <w:t>Dr. Nate Deichert</w:t>
        </w:r>
      </w:hyperlink>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r w:rsidRPr="00E52F93">
        <w:rPr>
          <w:rFonts w:eastAsia="Times New Roman" w:cs="Helvetica"/>
          <w:lang w:val="en"/>
        </w:rPr>
        <w:t>Associate Professor of Psychology, Black Hills State University, South Dakota USA</w:t>
      </w:r>
    </w:p>
    <w:p w:rsid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r w:rsidRPr="00E52F93">
        <w:rPr>
          <w:rFonts w:eastAsia="Times New Roman" w:cs="Helvetica"/>
          <w:b/>
          <w:bCs/>
          <w:sz w:val="20"/>
          <w:szCs w:val="20"/>
          <w:lang w:val="en"/>
        </w:rPr>
        <w:t>Keywords:</w:t>
      </w:r>
      <w:r w:rsidRPr="00E52F93">
        <w:rPr>
          <w:rFonts w:eastAsia="Times New Roman" w:cs="Helvetica"/>
          <w:sz w:val="20"/>
          <w:szCs w:val="20"/>
          <w:lang w:val="en"/>
        </w:rPr>
        <w:t xml:space="preserve"> social support, stress, gratitude</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p>
    <w:p w:rsidR="00E52F93" w:rsidRPr="00E52F93" w:rsidRDefault="00DF3874"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hyperlink r:id="rId234" w:history="1">
        <w:r w:rsidR="00E52F93" w:rsidRPr="00E52F93">
          <w:rPr>
            <w:rFonts w:eastAsia="Times New Roman" w:cs="Helvetica"/>
            <w:color w:val="0000FF"/>
            <w:u w:val="single"/>
            <w:lang w:val="en"/>
          </w:rPr>
          <w:t>Mr Johannes Heekerens</w:t>
        </w:r>
      </w:hyperlink>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r w:rsidRPr="00E52F93">
        <w:rPr>
          <w:rFonts w:eastAsia="Times New Roman" w:cs="Helvetica"/>
          <w:lang w:val="en"/>
        </w:rPr>
        <w:t xml:space="preserve">PhD Candidate, </w:t>
      </w:r>
      <w:proofErr w:type="spellStart"/>
      <w:r w:rsidRPr="00E52F93">
        <w:rPr>
          <w:rFonts w:eastAsia="Times New Roman" w:cs="Helvetica"/>
          <w:lang w:val="en"/>
        </w:rPr>
        <w:t>Freie</w:t>
      </w:r>
      <w:proofErr w:type="spellEnd"/>
      <w:r w:rsidRPr="00E52F93">
        <w:rPr>
          <w:rFonts w:eastAsia="Times New Roman" w:cs="Helvetica"/>
          <w:lang w:val="en"/>
        </w:rPr>
        <w:t xml:space="preserve"> </w:t>
      </w:r>
      <w:proofErr w:type="spellStart"/>
      <w:r w:rsidRPr="00E52F93">
        <w:rPr>
          <w:rFonts w:eastAsia="Times New Roman" w:cs="Helvetica"/>
          <w:lang w:val="en"/>
        </w:rPr>
        <w:t>UniversitÃ¤t</w:t>
      </w:r>
      <w:proofErr w:type="spellEnd"/>
      <w:r w:rsidRPr="00E52F93">
        <w:rPr>
          <w:rFonts w:eastAsia="Times New Roman" w:cs="Helvetica"/>
          <w:lang w:val="en"/>
        </w:rPr>
        <w:t xml:space="preserve"> Berlin</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r w:rsidRPr="00E52F93">
        <w:rPr>
          <w:rFonts w:eastAsia="Times New Roman" w:cs="Helvetica"/>
          <w:b/>
          <w:bCs/>
          <w:sz w:val="20"/>
          <w:szCs w:val="20"/>
          <w:lang w:val="en"/>
        </w:rPr>
        <w:t>Keywords:</w:t>
      </w:r>
      <w:r w:rsidRPr="00E52F93">
        <w:rPr>
          <w:rFonts w:eastAsia="Times New Roman" w:cs="Helvetica"/>
          <w:sz w:val="20"/>
          <w:szCs w:val="20"/>
          <w:lang w:val="en"/>
        </w:rPr>
        <w:t xml:space="preserve"> positive psychological interventions, psychotherapy, well-being, meta-analysis, structural equation modeling</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p>
    <w:p w:rsidR="00E52F93" w:rsidRPr="00E52F93" w:rsidRDefault="00DF3874"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hyperlink r:id="rId235" w:history="1">
        <w:r w:rsidR="00E52F93" w:rsidRPr="00E52F93">
          <w:rPr>
            <w:rFonts w:eastAsia="Times New Roman" w:cs="Helvetica"/>
            <w:color w:val="0000FF"/>
            <w:u w:val="single"/>
            <w:lang w:val="en"/>
          </w:rPr>
          <w:t>Associate Professor Eddie Tong</w:t>
        </w:r>
      </w:hyperlink>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lang w:val="en"/>
        </w:rPr>
      </w:pPr>
      <w:r w:rsidRPr="00E52F93">
        <w:rPr>
          <w:rFonts w:eastAsia="Times New Roman" w:cs="Helvetica"/>
          <w:lang w:val="en"/>
        </w:rPr>
        <w:t>Associate Professor, National University of Singapore</w:t>
      </w:r>
    </w:p>
    <w:p w:rsidR="00E52F93" w:rsidRPr="00E52F93" w:rsidRDefault="00E52F93" w:rsidP="00E52F93">
      <w:pPr>
        <w:pBdr>
          <w:top w:val="single" w:sz="6" w:space="8" w:color="DDDDDD"/>
          <w:left w:val="single" w:sz="6" w:space="11" w:color="DDDDDD"/>
          <w:bottom w:val="single" w:sz="6" w:space="8" w:color="DDDDDD"/>
          <w:right w:val="single" w:sz="6" w:space="11" w:color="DDDDDD"/>
        </w:pBdr>
        <w:shd w:val="clear" w:color="auto" w:fill="FFFFFF"/>
        <w:ind w:left="720"/>
        <w:rPr>
          <w:rFonts w:eastAsia="Times New Roman" w:cs="Helvetica"/>
          <w:sz w:val="20"/>
          <w:szCs w:val="20"/>
          <w:lang w:val="en"/>
        </w:rPr>
      </w:pPr>
      <w:r w:rsidRPr="00E52F93">
        <w:rPr>
          <w:rFonts w:eastAsia="Times New Roman" w:cs="Helvetica"/>
          <w:b/>
          <w:bCs/>
          <w:sz w:val="20"/>
          <w:szCs w:val="20"/>
          <w:lang w:val="en"/>
        </w:rPr>
        <w:t>Keywords:</w:t>
      </w:r>
      <w:r w:rsidRPr="00E52F93">
        <w:rPr>
          <w:rFonts w:eastAsia="Times New Roman" w:cs="Helvetica"/>
          <w:sz w:val="20"/>
          <w:szCs w:val="20"/>
          <w:lang w:val="en"/>
        </w:rPr>
        <w:t xml:space="preserve"> positive emotions, religion</w:t>
      </w:r>
    </w:p>
    <w:p w:rsidR="00CA4A49" w:rsidRDefault="00CA4A49" w:rsidP="00CA4A49">
      <w:pPr>
        <w:rPr>
          <w:rFonts w:eastAsia="Calibri" w:cs="Times New Roman"/>
          <w:i/>
          <w:szCs w:val="22"/>
          <w:u w:val="single"/>
        </w:rPr>
      </w:pPr>
      <w:r w:rsidRPr="00BB5D46">
        <w:rPr>
          <w:rFonts w:eastAsia="Calibri" w:cs="Times New Roman"/>
          <w:i/>
          <w:szCs w:val="22"/>
          <w:u w:val="single"/>
        </w:rPr>
        <w:lastRenderedPageBreak/>
        <w:t>.</w:t>
      </w:r>
    </w:p>
    <w:p w:rsidR="00CA4A49" w:rsidRPr="00BB5D46" w:rsidRDefault="00CA4A49" w:rsidP="00CA4A49">
      <w:pPr>
        <w:rPr>
          <w:rFonts w:eastAsia="Calibri" w:cs="Times New Roman"/>
          <w:i/>
          <w:szCs w:val="22"/>
          <w:u w:val="single"/>
        </w:rPr>
      </w:pPr>
    </w:p>
    <w:p w:rsidR="00A5733A" w:rsidRDefault="00CA4A49" w:rsidP="00EE4A66">
      <w:pPr>
        <w:pStyle w:val="NormalWeb"/>
        <w:rPr>
          <w:rFonts w:ascii="Times New Roman" w:hAnsi="Times New Roman"/>
          <w:b/>
          <w:color w:val="000000"/>
          <w:sz w:val="20"/>
          <w:szCs w:val="20"/>
        </w:rPr>
      </w:pPr>
      <w:r w:rsidRPr="002C296F">
        <w:rPr>
          <w:rFonts w:ascii="Times New Roman" w:hAnsi="Times New Roman"/>
          <w:b/>
          <w:color w:val="000000"/>
          <w:sz w:val="20"/>
          <w:szCs w:val="20"/>
        </w:rPr>
        <w:t>References</w:t>
      </w:r>
    </w:p>
    <w:p w:rsidR="00A86E90" w:rsidRPr="00167663" w:rsidRDefault="00A86E90" w:rsidP="00EE4A66">
      <w:pPr>
        <w:pStyle w:val="NormalWeb"/>
        <w:rPr>
          <w:rFonts w:ascii="Times New Roman" w:hAnsi="Times New Roman"/>
          <w:b/>
          <w:color w:val="000000"/>
          <w:sz w:val="22"/>
          <w:szCs w:val="22"/>
        </w:rPr>
      </w:pPr>
      <w:r w:rsidRPr="00167663">
        <w:rPr>
          <w:rFonts w:ascii="Times New Roman" w:hAnsi="Times New Roman"/>
          <w:sz w:val="22"/>
          <w:szCs w:val="22"/>
        </w:rPr>
        <w:t xml:space="preserve">Anglim, J., Weinberg, M. K., &amp; Cummins, R. A. (2015). Bayesian hierarchical </w:t>
      </w:r>
      <w:proofErr w:type="spellStart"/>
      <w:r w:rsidRPr="00167663">
        <w:rPr>
          <w:rFonts w:ascii="Times New Roman" w:hAnsi="Times New Roman"/>
          <w:sz w:val="22"/>
          <w:szCs w:val="22"/>
        </w:rPr>
        <w:t>modeling</w:t>
      </w:r>
      <w:proofErr w:type="spellEnd"/>
      <w:r w:rsidRPr="00167663">
        <w:rPr>
          <w:rFonts w:ascii="Times New Roman" w:hAnsi="Times New Roman"/>
          <w:sz w:val="22"/>
          <w:szCs w:val="22"/>
        </w:rPr>
        <w:t xml:space="preserve"> of the temporal dynamics of subjective well-being: A </w:t>
      </w:r>
      <w:proofErr w:type="gramStart"/>
      <w:r w:rsidRPr="00167663">
        <w:rPr>
          <w:rFonts w:ascii="Times New Roman" w:hAnsi="Times New Roman"/>
          <w:sz w:val="22"/>
          <w:szCs w:val="22"/>
        </w:rPr>
        <w:t>10 year</w:t>
      </w:r>
      <w:proofErr w:type="gramEnd"/>
      <w:r w:rsidRPr="00167663">
        <w:rPr>
          <w:rFonts w:ascii="Times New Roman" w:hAnsi="Times New Roman"/>
          <w:sz w:val="22"/>
          <w:szCs w:val="22"/>
        </w:rPr>
        <w:t xml:space="preserve"> longitudinal analysis. </w:t>
      </w:r>
      <w:r w:rsidRPr="00167663">
        <w:rPr>
          <w:rFonts w:ascii="Times New Roman" w:hAnsi="Times New Roman"/>
          <w:i/>
          <w:iCs/>
          <w:sz w:val="22"/>
          <w:szCs w:val="22"/>
        </w:rPr>
        <w:t>Journal of Research in Personality, 59</w:t>
      </w:r>
      <w:r w:rsidRPr="00167663">
        <w:rPr>
          <w:rFonts w:ascii="Times New Roman" w:hAnsi="Times New Roman"/>
          <w:sz w:val="22"/>
          <w:szCs w:val="22"/>
        </w:rPr>
        <w:t>(3), 1-14. doi:10.1016/j.jrp.2015.08.003</w:t>
      </w:r>
    </w:p>
    <w:p w:rsidR="00A86E90" w:rsidRDefault="00A86E90" w:rsidP="009C0185">
      <w:pPr>
        <w:pStyle w:val="EndNoteBibliography"/>
        <w:ind w:left="720" w:hanging="720"/>
        <w:rPr>
          <w:rFonts w:eastAsia="Arial"/>
          <w:sz w:val="22"/>
          <w:szCs w:val="22"/>
          <w:lang w:val="en-AU"/>
        </w:rPr>
      </w:pPr>
    </w:p>
    <w:p w:rsidR="004207A6" w:rsidRPr="0003649D" w:rsidRDefault="0003649D" w:rsidP="009C0185">
      <w:pPr>
        <w:pStyle w:val="EndNoteBibliography"/>
        <w:ind w:left="720" w:hanging="720"/>
        <w:rPr>
          <w:rFonts w:eastAsia="Arial"/>
          <w:sz w:val="22"/>
          <w:szCs w:val="22"/>
        </w:rPr>
      </w:pPr>
      <w:r w:rsidRPr="0003649D">
        <w:rPr>
          <w:rFonts w:eastAsia="Arial"/>
          <w:sz w:val="22"/>
          <w:szCs w:val="22"/>
          <w:lang w:val="en-AU"/>
        </w:rPr>
        <w:t xml:space="preserve">Cannon, W. B. (1932). </w:t>
      </w:r>
      <w:r w:rsidRPr="0003649D">
        <w:rPr>
          <w:rFonts w:eastAsia="Arial"/>
          <w:i/>
          <w:iCs/>
          <w:sz w:val="22"/>
          <w:szCs w:val="22"/>
          <w:lang w:val="en-AU"/>
        </w:rPr>
        <w:t>The wisdom of the body</w:t>
      </w:r>
      <w:r w:rsidRPr="0003649D">
        <w:rPr>
          <w:rFonts w:eastAsia="Arial"/>
          <w:sz w:val="22"/>
          <w:szCs w:val="22"/>
          <w:lang w:val="en-AU"/>
        </w:rPr>
        <w:t>. New York NY: Norton.</w:t>
      </w:r>
    </w:p>
    <w:p w:rsidR="0003649D" w:rsidRDefault="0003649D" w:rsidP="009C0185">
      <w:pPr>
        <w:pStyle w:val="EndNoteBibliography"/>
        <w:ind w:left="720" w:hanging="720"/>
        <w:rPr>
          <w:rFonts w:eastAsia="Arial"/>
          <w:sz w:val="22"/>
          <w:szCs w:val="22"/>
          <w:lang w:val="en-AU"/>
        </w:rPr>
      </w:pPr>
    </w:p>
    <w:p w:rsidR="00556077" w:rsidRDefault="0003649D" w:rsidP="009C0185">
      <w:pPr>
        <w:pStyle w:val="EndNoteBibliography"/>
        <w:ind w:left="720" w:hanging="720"/>
        <w:rPr>
          <w:rFonts w:eastAsia="Arial"/>
          <w:sz w:val="22"/>
          <w:szCs w:val="22"/>
          <w:lang w:val="en-AU"/>
        </w:rPr>
      </w:pPr>
      <w:r w:rsidRPr="0003649D">
        <w:rPr>
          <w:rFonts w:eastAsia="Arial"/>
          <w:sz w:val="22"/>
          <w:szCs w:val="22"/>
          <w:lang w:val="en-AU"/>
        </w:rPr>
        <w:t xml:space="preserve">Capic, T., Li, N., &amp; Cummins, R. A. (2018b). Confirmation of Subjective Wellbeing Set-points: Foundational for Subjective Social Indicators. </w:t>
      </w:r>
      <w:r w:rsidRPr="0003649D">
        <w:rPr>
          <w:rFonts w:eastAsia="Arial"/>
          <w:i/>
          <w:iCs/>
          <w:sz w:val="22"/>
          <w:szCs w:val="22"/>
          <w:lang w:val="en-AU"/>
        </w:rPr>
        <w:t>Social Indicators Research, 137</w:t>
      </w:r>
      <w:r w:rsidRPr="0003649D">
        <w:rPr>
          <w:rFonts w:eastAsia="Arial"/>
          <w:sz w:val="22"/>
          <w:szCs w:val="22"/>
          <w:lang w:val="en-AU"/>
        </w:rPr>
        <w:t>(1), 1-28. Retrieved from 10.1007/s11205-017-1585-5.</w:t>
      </w:r>
    </w:p>
    <w:p w:rsidR="008F51FD" w:rsidRDefault="008F51FD" w:rsidP="009C0185">
      <w:pPr>
        <w:pStyle w:val="EndNoteBibliography"/>
        <w:ind w:left="720" w:hanging="720"/>
        <w:rPr>
          <w:rFonts w:eastAsia="Arial"/>
          <w:sz w:val="22"/>
          <w:szCs w:val="22"/>
          <w:lang w:val="en-AU"/>
        </w:rPr>
      </w:pPr>
    </w:p>
    <w:p w:rsidR="008F51FD" w:rsidRDefault="008F51FD" w:rsidP="009C0185">
      <w:pPr>
        <w:pStyle w:val="EndNoteBibliography"/>
        <w:ind w:left="720" w:hanging="720"/>
        <w:rPr>
          <w:rFonts w:eastAsia="Arial"/>
          <w:sz w:val="22"/>
          <w:szCs w:val="22"/>
          <w:lang w:val="en-AU"/>
        </w:rPr>
      </w:pPr>
      <w:r w:rsidRPr="008F51FD">
        <w:rPr>
          <w:rFonts w:eastAsia="Arial"/>
          <w:sz w:val="22"/>
          <w:szCs w:val="22"/>
          <w:lang w:val="en-AU"/>
        </w:rPr>
        <w:t xml:space="preserve">Cummins, R. A. (1995). On the trail of the gold standard for life satisfaction. </w:t>
      </w:r>
      <w:r w:rsidRPr="008F51FD">
        <w:rPr>
          <w:rFonts w:eastAsia="Arial"/>
          <w:i/>
          <w:iCs/>
          <w:sz w:val="22"/>
          <w:szCs w:val="22"/>
          <w:lang w:val="en-AU"/>
        </w:rPr>
        <w:t>Social Indicators Research, 35</w:t>
      </w:r>
      <w:r w:rsidRPr="008F51FD">
        <w:rPr>
          <w:rFonts w:eastAsia="Arial"/>
          <w:sz w:val="22"/>
          <w:szCs w:val="22"/>
          <w:lang w:val="en-AU"/>
        </w:rPr>
        <w:t>(2), 179-200. doi:10.1007/BF01079026</w:t>
      </w:r>
    </w:p>
    <w:p w:rsidR="0003649D" w:rsidRPr="00556077" w:rsidRDefault="0003649D" w:rsidP="009C0185">
      <w:pPr>
        <w:pStyle w:val="EndNoteBibliography"/>
        <w:ind w:left="720" w:hanging="720"/>
        <w:rPr>
          <w:rFonts w:eastAsia="Arial"/>
          <w:sz w:val="22"/>
          <w:szCs w:val="22"/>
        </w:rPr>
      </w:pPr>
    </w:p>
    <w:p w:rsidR="0003649D" w:rsidRDefault="0003649D" w:rsidP="009C0185">
      <w:pPr>
        <w:pStyle w:val="EndNoteBibliography"/>
        <w:ind w:left="720" w:hanging="720"/>
        <w:rPr>
          <w:rFonts w:eastAsia="Arial"/>
          <w:sz w:val="22"/>
          <w:szCs w:val="22"/>
        </w:rPr>
      </w:pPr>
      <w:r>
        <w:rPr>
          <w:rFonts w:eastAsia="Arial"/>
          <w:sz w:val="22"/>
          <w:szCs w:val="22"/>
          <w:lang w:val="en-AU"/>
        </w:rPr>
        <w:t>Cummins, R. A. (2017</w:t>
      </w:r>
      <w:r w:rsidRPr="0003649D">
        <w:rPr>
          <w:rFonts w:eastAsia="Arial"/>
          <w:sz w:val="22"/>
          <w:szCs w:val="22"/>
          <w:lang w:val="en-AU"/>
        </w:rPr>
        <w:t xml:space="preserve">). </w:t>
      </w:r>
      <w:r w:rsidRPr="0003649D">
        <w:rPr>
          <w:rFonts w:eastAsia="Arial"/>
          <w:i/>
          <w:iCs/>
          <w:sz w:val="22"/>
          <w:szCs w:val="22"/>
          <w:lang w:val="en-AU"/>
        </w:rPr>
        <w:t>Subjective Wellbeing Homeostasis - Second edition</w:t>
      </w:r>
      <w:r w:rsidRPr="0003649D">
        <w:rPr>
          <w:rFonts w:eastAsia="Arial"/>
          <w:sz w:val="22"/>
          <w:szCs w:val="22"/>
          <w:lang w:val="en-AU"/>
        </w:rPr>
        <w:t xml:space="preserve">. In D. S. Dunn (Ed.), </w:t>
      </w:r>
      <w:r w:rsidRPr="0003649D">
        <w:rPr>
          <w:rFonts w:eastAsia="Arial"/>
          <w:i/>
          <w:iCs/>
          <w:sz w:val="22"/>
          <w:szCs w:val="22"/>
          <w:lang w:val="en-AU"/>
        </w:rPr>
        <w:t>Oxford Bibliographies Online</w:t>
      </w:r>
      <w:r w:rsidRPr="0003649D">
        <w:rPr>
          <w:rFonts w:eastAsia="Arial"/>
          <w:sz w:val="22"/>
          <w:szCs w:val="22"/>
          <w:lang w:val="en-AU"/>
        </w:rPr>
        <w:t xml:space="preserve">. Retrieved from </w:t>
      </w:r>
      <w:hyperlink r:id="rId236" w:history="1">
        <w:r w:rsidRPr="0003649D">
          <w:rPr>
            <w:rStyle w:val="Hyperlink"/>
            <w:rFonts w:eastAsia="Arial"/>
            <w:sz w:val="22"/>
            <w:szCs w:val="22"/>
            <w:lang w:val="en-AU"/>
          </w:rPr>
          <w:t>http://www.oxfordbibliographies.com/view/document/obo-9780199828340/obo-9780199828340-0167.xml</w:t>
        </w:r>
      </w:hyperlink>
    </w:p>
    <w:p w:rsidR="0003649D" w:rsidRDefault="0003649D" w:rsidP="009C0185">
      <w:pPr>
        <w:pStyle w:val="EndNoteBibliography"/>
        <w:ind w:left="720" w:hanging="720"/>
        <w:rPr>
          <w:rFonts w:eastAsia="Arial"/>
          <w:sz w:val="22"/>
          <w:szCs w:val="22"/>
        </w:rPr>
      </w:pPr>
    </w:p>
    <w:p w:rsidR="00EE4A66" w:rsidRPr="00556077" w:rsidRDefault="009C0185" w:rsidP="009C0185">
      <w:pPr>
        <w:pStyle w:val="EndNoteBibliography"/>
        <w:ind w:left="720" w:hanging="720"/>
        <w:rPr>
          <w:rFonts w:eastAsia="Arial"/>
          <w:sz w:val="22"/>
          <w:szCs w:val="22"/>
        </w:rPr>
      </w:pPr>
      <w:r w:rsidRPr="00556077">
        <w:rPr>
          <w:rFonts w:eastAsia="Arial"/>
          <w:sz w:val="22"/>
          <w:szCs w:val="22"/>
        </w:rPr>
        <w:t xml:space="preserve"> </w:t>
      </w:r>
      <w:r w:rsidR="004207A6" w:rsidRPr="00556077">
        <w:rPr>
          <w:rFonts w:eastAsia="Arial"/>
          <w:sz w:val="22"/>
          <w:szCs w:val="22"/>
          <w:lang w:val="en-AU"/>
        </w:rPr>
        <w:t xml:space="preserve">Cummins, R. A., &amp; Wooden, M. (2014). Personal resilience in times of crisis: The implications of SWB homeostasis and set-points. </w:t>
      </w:r>
      <w:r w:rsidR="004207A6" w:rsidRPr="00556077">
        <w:rPr>
          <w:rFonts w:eastAsia="Arial"/>
          <w:i/>
          <w:iCs/>
          <w:sz w:val="22"/>
          <w:szCs w:val="22"/>
          <w:lang w:val="en-AU"/>
        </w:rPr>
        <w:t>Journal of Happiness Studies, 15</w:t>
      </w:r>
      <w:r w:rsidR="004207A6" w:rsidRPr="00556077">
        <w:rPr>
          <w:rFonts w:eastAsia="Arial"/>
          <w:sz w:val="22"/>
          <w:szCs w:val="22"/>
          <w:lang w:val="en-AU"/>
        </w:rPr>
        <w:t>, 223-235. doi:10.1007/s10902-013-9481-4</w:t>
      </w:r>
    </w:p>
    <w:p w:rsidR="004207A6" w:rsidRPr="00556077" w:rsidRDefault="004207A6" w:rsidP="009C0185">
      <w:pPr>
        <w:pStyle w:val="EndNoteBibliography"/>
        <w:ind w:left="720" w:hanging="720"/>
        <w:rPr>
          <w:rFonts w:eastAsia="Arial"/>
          <w:sz w:val="22"/>
          <w:szCs w:val="22"/>
        </w:rPr>
      </w:pPr>
    </w:p>
    <w:p w:rsidR="009C0185" w:rsidRPr="00556077" w:rsidRDefault="009C0185" w:rsidP="009C0185">
      <w:pPr>
        <w:pStyle w:val="EndNoteBibliography"/>
        <w:ind w:left="720" w:hanging="720"/>
        <w:rPr>
          <w:rFonts w:eastAsia="Arial"/>
          <w:sz w:val="22"/>
          <w:szCs w:val="22"/>
        </w:rPr>
      </w:pPr>
      <w:r w:rsidRPr="00556077">
        <w:rPr>
          <w:rFonts w:eastAsia="Arial"/>
          <w:sz w:val="22"/>
          <w:szCs w:val="22"/>
        </w:rPr>
        <w:t xml:space="preserve">Selye, H. (1976). </w:t>
      </w:r>
      <w:r w:rsidRPr="00556077">
        <w:rPr>
          <w:rFonts w:eastAsia="Arial"/>
          <w:i/>
          <w:sz w:val="22"/>
          <w:szCs w:val="22"/>
        </w:rPr>
        <w:t>Stress in health and disease</w:t>
      </w:r>
      <w:r w:rsidRPr="00556077">
        <w:rPr>
          <w:rFonts w:eastAsia="Arial"/>
          <w:sz w:val="22"/>
          <w:szCs w:val="22"/>
        </w:rPr>
        <w:t>. Reading, MA: Butterworth.</w:t>
      </w:r>
    </w:p>
    <w:p w:rsidR="007A5CDF" w:rsidRDefault="007A5CDF" w:rsidP="003430D0">
      <w:pPr>
        <w:rPr>
          <w:rFonts w:eastAsia="Arial" w:cs="Times New Roman"/>
          <w:b/>
          <w:sz w:val="28"/>
          <w:szCs w:val="28"/>
        </w:rPr>
      </w:pPr>
    </w:p>
    <w:p w:rsidR="007A5CDF" w:rsidRDefault="007A5CDF" w:rsidP="003430D0">
      <w:pPr>
        <w:rPr>
          <w:rFonts w:eastAsia="Arial" w:cs="Times New Roman"/>
          <w:b/>
          <w:sz w:val="28"/>
          <w:szCs w:val="28"/>
        </w:rPr>
      </w:pPr>
    </w:p>
    <w:p w:rsidR="004504EB" w:rsidRPr="004504EB" w:rsidRDefault="007A5CDF" w:rsidP="004504EB">
      <w:pPr>
        <w:pStyle w:val="EndNoteBibliography"/>
        <w:ind w:left="720" w:hanging="720"/>
      </w:pPr>
      <w:r>
        <w:rPr>
          <w:rFonts w:eastAsia="Arial"/>
          <w:b/>
          <w:sz w:val="28"/>
          <w:szCs w:val="28"/>
        </w:rPr>
        <w:fldChar w:fldCharType="begin"/>
      </w:r>
      <w:r>
        <w:rPr>
          <w:rFonts w:eastAsia="Arial"/>
          <w:b/>
          <w:sz w:val="28"/>
          <w:szCs w:val="28"/>
        </w:rPr>
        <w:instrText xml:space="preserve"> ADDIN EN.REFLIST </w:instrText>
      </w:r>
      <w:r>
        <w:rPr>
          <w:rFonts w:eastAsia="Arial"/>
          <w:b/>
          <w:sz w:val="28"/>
          <w:szCs w:val="28"/>
        </w:rPr>
        <w:fldChar w:fldCharType="separate"/>
      </w:r>
      <w:r w:rsidR="004504EB" w:rsidRPr="004504EB">
        <w:t xml:space="preserve">Alexandrova, A., &amp; Haybron, D. M. (2016). Is construct validation valid? </w:t>
      </w:r>
      <w:r w:rsidR="004504EB" w:rsidRPr="004504EB">
        <w:rPr>
          <w:i/>
        </w:rPr>
        <w:t>Philosophy of Science, 83</w:t>
      </w:r>
      <w:r w:rsidR="004504EB" w:rsidRPr="004504EB">
        <w:t xml:space="preserve">(5), 1098-1109. </w:t>
      </w:r>
    </w:p>
    <w:p w:rsidR="004504EB" w:rsidRPr="004504EB" w:rsidRDefault="004504EB" w:rsidP="004504EB">
      <w:pPr>
        <w:pStyle w:val="EndNoteBibliography"/>
        <w:ind w:left="720" w:hanging="720"/>
      </w:pPr>
      <w:r w:rsidRPr="004504EB">
        <w:t xml:space="preserve">Alvesson, M., &amp; Einola, K. (2019). Warning for excessive positivity: Authentic leadership and other traps in leadership studies. </w:t>
      </w:r>
      <w:r w:rsidRPr="004504EB">
        <w:rPr>
          <w:i/>
        </w:rPr>
        <w:t>The Leadership Quarterly, 30</w:t>
      </w:r>
      <w:r w:rsidRPr="004504EB">
        <w:t xml:space="preserve">, 383-395. </w:t>
      </w:r>
    </w:p>
    <w:p w:rsidR="004504EB" w:rsidRPr="004504EB" w:rsidRDefault="004504EB" w:rsidP="004504EB">
      <w:pPr>
        <w:pStyle w:val="EndNoteBibliography"/>
        <w:ind w:left="720" w:hanging="720"/>
      </w:pPr>
      <w:r w:rsidRPr="004504EB">
        <w:t xml:space="preserve">Anderson, K. J., Revelle, W., &amp; Lynch, M. J. (1989). Caffeine, impulsivity, and memory scanning: A comparison of two explanations for the Yerkes-Dodson Effect. </w:t>
      </w:r>
      <w:r w:rsidRPr="004504EB">
        <w:rPr>
          <w:i/>
        </w:rPr>
        <w:t>Motivation and Emotion, 13</w:t>
      </w:r>
      <w:r w:rsidRPr="004504EB">
        <w:t xml:space="preserve">(1), 1-20. </w:t>
      </w:r>
    </w:p>
    <w:p w:rsidR="004504EB" w:rsidRPr="004504EB" w:rsidRDefault="004504EB" w:rsidP="004504EB">
      <w:pPr>
        <w:pStyle w:val="EndNoteBibliography"/>
        <w:ind w:left="720" w:hanging="720"/>
      </w:pPr>
      <w:r w:rsidRPr="004504EB">
        <w:t xml:space="preserve">Andrews, F. M., &amp; Robinson, J. P. (1991). Measures of subjective well-being. In F. M. Andrews, J. P. Robinson, P. R. Shaver, &amp; L. S. Wrightsman (Eds.), </w:t>
      </w:r>
      <w:r w:rsidRPr="004504EB">
        <w:rPr>
          <w:i/>
        </w:rPr>
        <w:t>Measures of personality and social psychological attitudes</w:t>
      </w:r>
      <w:r w:rsidRPr="004504EB">
        <w:t xml:space="preserve"> (Vol. 1, pp. 61-114).</w:t>
      </w:r>
    </w:p>
    <w:p w:rsidR="004504EB" w:rsidRPr="004504EB" w:rsidRDefault="004504EB" w:rsidP="004504EB">
      <w:pPr>
        <w:pStyle w:val="EndNoteBibliography"/>
        <w:ind w:left="720" w:hanging="720"/>
      </w:pPr>
      <w:r w:rsidRPr="004504EB">
        <w:t xml:space="preserve">Anglim, J., Weinberg, M. K., &amp; Cummins, R. A. (2015). Bayesian hierarchical modeling of the temporal dynamics of subjective well-being: A 10 year longitudinal analysis. </w:t>
      </w:r>
      <w:r w:rsidRPr="004504EB">
        <w:rPr>
          <w:i/>
        </w:rPr>
        <w:t>Journal of Research in Personality, 59</w:t>
      </w:r>
      <w:r w:rsidRPr="004504EB">
        <w:t>(3), 1-14. doi:10.1016/j.jrp.2015.08.003</w:t>
      </w:r>
    </w:p>
    <w:p w:rsidR="004504EB" w:rsidRPr="004504EB" w:rsidRDefault="004504EB" w:rsidP="004504EB">
      <w:pPr>
        <w:pStyle w:val="EndNoteBibliography"/>
        <w:ind w:left="720" w:hanging="720"/>
      </w:pPr>
      <w:r w:rsidRPr="004504EB">
        <w:t xml:space="preserve">Avolio, B. J., &amp; Gardner, W. L. (2005). Authentic leadership development: Getting to the root of positive forms of leadership. </w:t>
      </w:r>
      <w:r w:rsidRPr="004504EB">
        <w:rPr>
          <w:i/>
        </w:rPr>
        <w:t>The Leadership Quarterly, 16</w:t>
      </w:r>
      <w:r w:rsidRPr="004504EB">
        <w:t xml:space="preserve">(3), 315-338. </w:t>
      </w:r>
    </w:p>
    <w:p w:rsidR="004504EB" w:rsidRPr="004504EB" w:rsidRDefault="004504EB" w:rsidP="004504EB">
      <w:pPr>
        <w:pStyle w:val="EndNoteBibliography"/>
        <w:ind w:left="720" w:hanging="720"/>
      </w:pPr>
      <w:r w:rsidRPr="004504EB">
        <w:t xml:space="preserve">Baker, F., &amp; Intagliata, J. (1982). Quality of life in the evaluation of community support systems. </w:t>
      </w:r>
      <w:r w:rsidRPr="004504EB">
        <w:rPr>
          <w:i/>
        </w:rPr>
        <w:t>Evaluation and Program Planning, 5</w:t>
      </w:r>
      <w:r w:rsidRPr="004504EB">
        <w:t xml:space="preserve">, 69-19. </w:t>
      </w:r>
    </w:p>
    <w:p w:rsidR="004504EB" w:rsidRPr="004504EB" w:rsidRDefault="004504EB" w:rsidP="004504EB">
      <w:pPr>
        <w:pStyle w:val="EndNoteBibliography"/>
        <w:ind w:left="720" w:hanging="720"/>
      </w:pPr>
      <w:r w:rsidRPr="004504EB">
        <w:t xml:space="preserve">Bergner, M. (1989). Quality of life, health status, and clinical research. </w:t>
      </w:r>
      <w:r w:rsidRPr="004504EB">
        <w:rPr>
          <w:i/>
        </w:rPr>
        <w:t>Medical Care, 27</w:t>
      </w:r>
      <w:r w:rsidRPr="004504EB">
        <w:t xml:space="preserve">, S148-S156. </w:t>
      </w:r>
    </w:p>
    <w:p w:rsidR="004504EB" w:rsidRPr="004504EB" w:rsidRDefault="004504EB" w:rsidP="004504EB">
      <w:pPr>
        <w:pStyle w:val="EndNoteBibliography"/>
        <w:ind w:left="720" w:hanging="720"/>
      </w:pPr>
      <w:r w:rsidRPr="004504EB">
        <w:t xml:space="preserve">Berman, R. (2016). </w:t>
      </w:r>
      <w:r w:rsidRPr="004504EB">
        <w:rPr>
          <w:i/>
        </w:rPr>
        <w:t>Unhappiness: The Key to Raising Happy Kids</w:t>
      </w:r>
      <w:r w:rsidRPr="004504EB">
        <w:t>. Santa Monica, CA: Goop.</w:t>
      </w:r>
    </w:p>
    <w:p w:rsidR="004504EB" w:rsidRPr="004504EB" w:rsidRDefault="004504EB" w:rsidP="004504EB">
      <w:pPr>
        <w:pStyle w:val="EndNoteBibliography"/>
        <w:ind w:left="720" w:hanging="720"/>
        <w:rPr>
          <w:sz w:val="16"/>
        </w:rPr>
      </w:pPr>
      <w:r w:rsidRPr="004504EB">
        <w:rPr>
          <w:sz w:val="16"/>
        </w:rPr>
        <w:t>Bienertová-Vašků, J.</w:t>
      </w:r>
      <w:r w:rsidRPr="004504EB">
        <w:t xml:space="preserve">, </w:t>
      </w:r>
      <w:r w:rsidRPr="004504EB">
        <w:rPr>
          <w:sz w:val="16"/>
        </w:rPr>
        <w:t>Zlámal, F.</w:t>
      </w:r>
      <w:r w:rsidRPr="004504EB">
        <w:t xml:space="preserve">, </w:t>
      </w:r>
      <w:r w:rsidRPr="004504EB">
        <w:rPr>
          <w:sz w:val="16"/>
        </w:rPr>
        <w:t>Nečesánek, I.</w:t>
      </w:r>
      <w:r w:rsidRPr="004504EB">
        <w:t xml:space="preserve">, </w:t>
      </w:r>
      <w:r w:rsidRPr="004504EB">
        <w:rPr>
          <w:sz w:val="16"/>
        </w:rPr>
        <w:t>Konečný, D.</w:t>
      </w:r>
      <w:r w:rsidRPr="004504EB">
        <w:t xml:space="preserve">, &amp; </w:t>
      </w:r>
      <w:r w:rsidRPr="004504EB">
        <w:rPr>
          <w:sz w:val="16"/>
        </w:rPr>
        <w:t>Vasku, A.</w:t>
      </w:r>
      <w:r w:rsidRPr="004504EB">
        <w:t xml:space="preserve"> (</w:t>
      </w:r>
      <w:r w:rsidRPr="004504EB">
        <w:rPr>
          <w:sz w:val="16"/>
        </w:rPr>
        <w:t>2016</w:t>
      </w:r>
      <w:r w:rsidRPr="004504EB">
        <w:t xml:space="preserve">). </w:t>
      </w:r>
      <w:r w:rsidRPr="004504EB">
        <w:rPr>
          <w:sz w:val="16"/>
        </w:rPr>
        <w:t>Calculating Stress: From Entropy to a Thermodynamic Concept of Health and Disease</w:t>
      </w:r>
      <w:r w:rsidRPr="004504EB">
        <w:t xml:space="preserve">. </w:t>
      </w:r>
      <w:r w:rsidRPr="004504EB">
        <w:rPr>
          <w:i/>
        </w:rPr>
        <w:t>PloS one, 11</w:t>
      </w:r>
      <w:r w:rsidRPr="004504EB">
        <w:t xml:space="preserve">(1), </w:t>
      </w:r>
      <w:r w:rsidRPr="004504EB">
        <w:rPr>
          <w:sz w:val="16"/>
        </w:rPr>
        <w:t>e0146667</w:t>
      </w:r>
      <w:r w:rsidRPr="004504EB">
        <w:t>. doi:</w:t>
      </w:r>
      <w:r w:rsidRPr="004504EB">
        <w:rPr>
          <w:sz w:val="16"/>
        </w:rPr>
        <w:t>10.1371/journal.pone.0146667</w:t>
      </w:r>
    </w:p>
    <w:p w:rsidR="004504EB" w:rsidRPr="004504EB" w:rsidRDefault="004504EB" w:rsidP="004504EB">
      <w:pPr>
        <w:pStyle w:val="EndNoteBibliography"/>
        <w:ind w:left="720" w:hanging="720"/>
      </w:pPr>
      <w:r w:rsidRPr="004504EB">
        <w:t xml:space="preserve">Bloom, A. (1981). </w:t>
      </w:r>
      <w:r w:rsidRPr="004504EB">
        <w:rPr>
          <w:i/>
        </w:rPr>
        <w:t>The linguistic shaping of thought</w:t>
      </w:r>
      <w:r w:rsidRPr="004504EB">
        <w:t>. Hillsdale, NJ: Earlbaum.</w:t>
      </w:r>
    </w:p>
    <w:p w:rsidR="004504EB" w:rsidRPr="004504EB" w:rsidRDefault="004504EB" w:rsidP="004504EB">
      <w:pPr>
        <w:pStyle w:val="EndNoteBibliography"/>
        <w:ind w:left="720" w:hanging="720"/>
      </w:pPr>
      <w:r w:rsidRPr="004504EB">
        <w:lastRenderedPageBreak/>
        <w:t xml:space="preserve">Blore, J. D., Stokes, M. A., Mellor, D., Firth, L., &amp; Cummins, R. A. (2011). Comparing multiple discrepancies theory to affective models of subjective wellbeing. </w:t>
      </w:r>
      <w:r w:rsidRPr="004504EB">
        <w:rPr>
          <w:i/>
        </w:rPr>
        <w:t>Social Indicators Research, 100</w:t>
      </w:r>
      <w:r w:rsidRPr="004504EB">
        <w:t>(1), 1-16. doi:10.1007/s11205-010-9599-2</w:t>
      </w:r>
    </w:p>
    <w:p w:rsidR="004504EB" w:rsidRPr="004504EB" w:rsidRDefault="004504EB" w:rsidP="004504EB">
      <w:pPr>
        <w:pStyle w:val="EndNoteBibliography"/>
        <w:ind w:left="720" w:hanging="720"/>
      </w:pPr>
      <w:r w:rsidRPr="004504EB">
        <w:t xml:space="preserve">Brickman, P., &amp; Campbell, D. T. (1971). Hedonic relativism and planning the good society. In M. H. Appley (Ed.), </w:t>
      </w:r>
      <w:r w:rsidRPr="004504EB">
        <w:rPr>
          <w:i/>
        </w:rPr>
        <w:t>Adaptation-level theory: A symposium</w:t>
      </w:r>
      <w:r w:rsidRPr="004504EB">
        <w:t xml:space="preserve"> (pp. 287-302). New York: Academic Press.</w:t>
      </w:r>
    </w:p>
    <w:p w:rsidR="004504EB" w:rsidRPr="004504EB" w:rsidRDefault="004504EB" w:rsidP="004504EB">
      <w:pPr>
        <w:pStyle w:val="EndNoteBibliography"/>
        <w:ind w:left="720" w:hanging="720"/>
      </w:pPr>
      <w:r w:rsidRPr="004504EB">
        <w:t xml:space="preserve">Browne, M. W. (1992). Circumplex models for correlational matrices. </w:t>
      </w:r>
      <w:r w:rsidRPr="004504EB">
        <w:rPr>
          <w:i/>
        </w:rPr>
        <w:t>Psychometrika, 57</w:t>
      </w:r>
      <w:r w:rsidRPr="004504EB">
        <w:t xml:space="preserve">(4), 469–497. </w:t>
      </w:r>
    </w:p>
    <w:p w:rsidR="004504EB" w:rsidRPr="004504EB" w:rsidRDefault="004504EB" w:rsidP="004504EB">
      <w:pPr>
        <w:pStyle w:val="EndNoteBibliography"/>
        <w:ind w:left="720" w:hanging="720"/>
      </w:pPr>
      <w:r w:rsidRPr="004504EB">
        <w:t xml:space="preserve">Calman, K. C. (1984). Quality of life in cancer patients--an hypothesis. </w:t>
      </w:r>
      <w:r w:rsidRPr="004504EB">
        <w:rPr>
          <w:i/>
        </w:rPr>
        <w:t>Journal of medical ethics, 10</w:t>
      </w:r>
      <w:r w:rsidRPr="004504EB">
        <w:t xml:space="preserve">(3), 124-127. </w:t>
      </w:r>
    </w:p>
    <w:p w:rsidR="004504EB" w:rsidRPr="004504EB" w:rsidRDefault="004504EB" w:rsidP="004504EB">
      <w:pPr>
        <w:pStyle w:val="EndNoteBibliography"/>
        <w:ind w:left="720" w:hanging="720"/>
      </w:pPr>
      <w:r w:rsidRPr="004504EB">
        <w:t xml:space="preserve">Cannon, W. B. (1932). </w:t>
      </w:r>
      <w:r w:rsidRPr="004504EB">
        <w:rPr>
          <w:i/>
        </w:rPr>
        <w:t>The wisdom of the body</w:t>
      </w:r>
      <w:r w:rsidRPr="004504EB">
        <w:t>. New York NY: Norton.</w:t>
      </w:r>
    </w:p>
    <w:p w:rsidR="004504EB" w:rsidRPr="004504EB" w:rsidRDefault="004504EB" w:rsidP="004504EB">
      <w:pPr>
        <w:pStyle w:val="EndNoteBibliography"/>
        <w:ind w:left="720" w:hanging="720"/>
      </w:pPr>
      <w:r w:rsidRPr="004504EB">
        <w:t xml:space="preserve">Capic, T., Li, N., &amp; Cummins, R. A. (2018). Confirmation of Subjective Wellbeing Set-points: Foundational for Subjective Social Indicators. </w:t>
      </w:r>
      <w:r w:rsidRPr="004504EB">
        <w:rPr>
          <w:i/>
        </w:rPr>
        <w:t>Social Indicators Research, 137</w:t>
      </w:r>
      <w:r w:rsidRPr="004504EB">
        <w:t xml:space="preserve">(1), 1-28. Retrieved from 10.1007/s11205-017-1585-5. </w:t>
      </w:r>
    </w:p>
    <w:p w:rsidR="004504EB" w:rsidRPr="004504EB" w:rsidRDefault="004504EB" w:rsidP="004504EB">
      <w:pPr>
        <w:pStyle w:val="EndNoteBibliography"/>
        <w:ind w:left="720" w:hanging="720"/>
      </w:pPr>
      <w:r w:rsidRPr="004504EB">
        <w:t xml:space="preserve">Central Intelligence Agency. (2019). </w:t>
      </w:r>
      <w:r w:rsidRPr="004504EB">
        <w:rPr>
          <w:i/>
        </w:rPr>
        <w:t>World Fact Book: Distribution of Faminly Income-Gini Index</w:t>
      </w:r>
      <w:r w:rsidRPr="004504EB">
        <w:t>. doi:</w:t>
      </w:r>
      <w:hyperlink r:id="rId237" w:anchor="51" w:history="1">
        <w:r w:rsidRPr="004504EB">
          <w:rPr>
            <w:rStyle w:val="Hyperlink"/>
          </w:rPr>
          <w:t>https://www.cia.gov/library/publications/resources/the-world-factbook/fields/2172.html#51</w:t>
        </w:r>
      </w:hyperlink>
    </w:p>
    <w:p w:rsidR="004504EB" w:rsidRPr="004504EB" w:rsidRDefault="004504EB" w:rsidP="004504EB">
      <w:pPr>
        <w:pStyle w:val="EndNoteBibliography"/>
        <w:ind w:left="720" w:hanging="720"/>
      </w:pPr>
      <w:r w:rsidRPr="004504EB">
        <w:t xml:space="preserve">Chida, Y., &amp; Steptoe, A. (2009). Cortisol awakening response and psychosocial factors: a systematic review and meta-analysis. </w:t>
      </w:r>
      <w:r w:rsidRPr="004504EB">
        <w:rPr>
          <w:i/>
        </w:rPr>
        <w:t>Biological psychology, 80</w:t>
      </w:r>
      <w:r w:rsidRPr="004504EB">
        <w:t xml:space="preserve">(3), 265-278. </w:t>
      </w:r>
    </w:p>
    <w:p w:rsidR="004504EB" w:rsidRPr="004504EB" w:rsidRDefault="004504EB" w:rsidP="004504EB">
      <w:pPr>
        <w:pStyle w:val="EndNoteBibliography"/>
        <w:ind w:left="720" w:hanging="720"/>
      </w:pPr>
      <w:r w:rsidRPr="004504EB">
        <w:t xml:space="preserve">Clark, A. E., &amp; Georgellis, Y. (2013). Back to baseline in Britain: adaptation in the British household panel survey. </w:t>
      </w:r>
      <w:r w:rsidRPr="004504EB">
        <w:rPr>
          <w:i/>
        </w:rPr>
        <w:t>Economica, 80</w:t>
      </w:r>
      <w:r w:rsidRPr="004504EB">
        <w:t xml:space="preserve">(319), 496-512. </w:t>
      </w:r>
    </w:p>
    <w:p w:rsidR="004504EB" w:rsidRPr="004504EB" w:rsidRDefault="004504EB" w:rsidP="004504EB">
      <w:pPr>
        <w:pStyle w:val="EndNoteBibliography"/>
        <w:ind w:left="720" w:hanging="720"/>
      </w:pPr>
      <w:r w:rsidRPr="004504EB">
        <w:t xml:space="preserve">Cronbach, L. J., &amp; Meehl, P. E. (1955). Construct validity in psychological tests. </w:t>
      </w:r>
      <w:r w:rsidRPr="004504EB">
        <w:rPr>
          <w:i/>
        </w:rPr>
        <w:t>Psychological Bulletin, 52</w:t>
      </w:r>
      <w:r w:rsidRPr="004504EB">
        <w:t xml:space="preserve">(4), 281-302. </w:t>
      </w:r>
    </w:p>
    <w:p w:rsidR="004504EB" w:rsidRPr="004504EB" w:rsidRDefault="004504EB" w:rsidP="004504EB">
      <w:pPr>
        <w:pStyle w:val="EndNoteBibliography"/>
        <w:ind w:left="720" w:hanging="720"/>
      </w:pPr>
      <w:r w:rsidRPr="004504EB">
        <w:t xml:space="preserve">Cummins, R. A. (2017a). </w:t>
      </w:r>
      <w:r w:rsidRPr="004504EB">
        <w:rPr>
          <w:i/>
        </w:rPr>
        <w:t>Subjective Wellbeing Homeostasis - Second edition</w:t>
      </w:r>
      <w:r w:rsidRPr="004504EB">
        <w:t xml:space="preserve">. In D. S. Dunn (Ed.), </w:t>
      </w:r>
      <w:r w:rsidRPr="004504EB">
        <w:rPr>
          <w:i/>
        </w:rPr>
        <w:t>Oxford Bibliographies Online</w:t>
      </w:r>
      <w:r w:rsidRPr="004504EB">
        <w:t xml:space="preserve">. Retrieved from </w:t>
      </w:r>
      <w:hyperlink r:id="rId238" w:history="1">
        <w:r w:rsidRPr="004504EB">
          <w:rPr>
            <w:rStyle w:val="Hyperlink"/>
          </w:rPr>
          <w:t>http://www.oxfordbibliographies.com/view/document/obo-9780199828340/obo-9780199828340-0167.xml</w:t>
        </w:r>
      </w:hyperlink>
    </w:p>
    <w:p w:rsidR="004504EB" w:rsidRPr="004504EB" w:rsidRDefault="004504EB" w:rsidP="004504EB">
      <w:pPr>
        <w:pStyle w:val="EndNoteBibliography"/>
        <w:ind w:left="720" w:hanging="720"/>
      </w:pPr>
      <w:r w:rsidRPr="004504EB">
        <w:t xml:space="preserve">Cummins, R. A. (2018c). The Golden Triangle of Happiness: Essential resources for a happy family. </w:t>
      </w:r>
      <w:r w:rsidRPr="004504EB">
        <w:rPr>
          <w:i/>
        </w:rPr>
        <w:t>International Journal of Child, Youth &amp; Family Studies, 9</w:t>
      </w:r>
      <w:r w:rsidRPr="004504EB">
        <w:t xml:space="preserve">(4), 12–39. </w:t>
      </w:r>
    </w:p>
    <w:p w:rsidR="004504EB" w:rsidRPr="004504EB" w:rsidRDefault="004504EB" w:rsidP="004504EB">
      <w:pPr>
        <w:pStyle w:val="EndNoteBibliography"/>
        <w:ind w:left="720" w:hanging="720"/>
      </w:pPr>
      <w:r w:rsidRPr="004504EB">
        <w:t xml:space="preserve">Cummins, R. A. (2019b). Jeromy Bentham, Utility, and the Golden Triangle of Happiness. In G. Brulé &amp; C. Suter (Eds.), </w:t>
      </w:r>
      <w:r w:rsidRPr="004504EB">
        <w:rPr>
          <w:i/>
        </w:rPr>
        <w:t>Wealth(s) and Subjective Well-Being. Social Indicators Research Series, vol 76.</w:t>
      </w:r>
      <w:r w:rsidRPr="004504EB">
        <w:t xml:space="preserve"> (pp. 67-83). Cham: Springer </w:t>
      </w:r>
      <w:hyperlink r:id="rId239" w:anchor="toc" w:history="1">
        <w:r w:rsidRPr="004504EB">
          <w:rPr>
            <w:rStyle w:val="Hyperlink"/>
          </w:rPr>
          <w:t>https://rd.springer.com/book/10.1007%2F978-3-030-05535-6#toc</w:t>
        </w:r>
      </w:hyperlink>
      <w:r w:rsidRPr="004504EB">
        <w:t>.</w:t>
      </w:r>
    </w:p>
    <w:p w:rsidR="004504EB" w:rsidRPr="004504EB" w:rsidRDefault="004504EB" w:rsidP="004504EB">
      <w:pPr>
        <w:pStyle w:val="EndNoteBibliography"/>
        <w:ind w:left="720" w:hanging="720"/>
      </w:pPr>
      <w:r w:rsidRPr="004504EB">
        <w:t xml:space="preserve">Cummins, R. A. (2019c). Wellbeing across Cultures: Issues of measurement and the interpretation of data. In K. D. Keith (Ed.), </w:t>
      </w:r>
      <w:r w:rsidRPr="004504EB">
        <w:rPr>
          <w:i/>
        </w:rPr>
        <w:t>Cross-Cultural Psychology: Contemporary Themes &amp; Perspectives</w:t>
      </w:r>
      <w:r w:rsidRPr="004504EB">
        <w:t xml:space="preserve"> (Second ed., pp. 516-530). New York: Wiley/Blackwell.</w:t>
      </w:r>
    </w:p>
    <w:p w:rsidR="004504EB" w:rsidRPr="004504EB" w:rsidRDefault="004504EB" w:rsidP="004504EB">
      <w:pPr>
        <w:pStyle w:val="EndNoteBibliography"/>
        <w:ind w:left="720" w:hanging="720"/>
      </w:pPr>
      <w:r w:rsidRPr="004504EB">
        <w:t xml:space="preserve">Cummins, R. A., Capic, T., Hutchinson, D., Fuller-Tyszkiewicz, M., Olsson, C. A., &amp; Richardson, B. (2018). Why self-report variables inter-correlate: The role of Homeostatically Protected Mood. </w:t>
      </w:r>
      <w:r w:rsidRPr="004504EB">
        <w:rPr>
          <w:i/>
        </w:rPr>
        <w:t>Journal of Wellbeing Assessment, 2</w:t>
      </w:r>
      <w:r w:rsidRPr="004504EB">
        <w:t>, 93-114. doi:10.1007/s41543-018-0014-0</w:t>
      </w:r>
    </w:p>
    <w:p w:rsidR="004504EB" w:rsidRPr="004504EB" w:rsidRDefault="004504EB" w:rsidP="004504EB">
      <w:pPr>
        <w:pStyle w:val="EndNoteBibliography"/>
        <w:ind w:left="720" w:hanging="720"/>
      </w:pPr>
      <w:r w:rsidRPr="004504EB">
        <w:t xml:space="preserve">Cummins, R. A., Li, L., Wooden, M., &amp; Stokes, M. (2014a). A demonstration of set-points for subjective wellbeing. </w:t>
      </w:r>
      <w:r w:rsidRPr="004504EB">
        <w:rPr>
          <w:i/>
        </w:rPr>
        <w:t>Journal of Happiness Studies, 15</w:t>
      </w:r>
      <w:r w:rsidRPr="004504EB">
        <w:t>, 183-206. doi:10.1007/s10902-013-9444-9</w:t>
      </w:r>
    </w:p>
    <w:p w:rsidR="004504EB" w:rsidRPr="004504EB" w:rsidRDefault="004504EB" w:rsidP="004504EB">
      <w:pPr>
        <w:pStyle w:val="EndNoteBibliography"/>
        <w:ind w:left="720" w:hanging="720"/>
      </w:pPr>
      <w:r w:rsidRPr="004504EB">
        <w:t xml:space="preserve">Cummins, R. A., &amp; Nistico, H. (2002). Maintaining life satisfaction: The role of positive cognitive bias. </w:t>
      </w:r>
      <w:r w:rsidRPr="004504EB">
        <w:rPr>
          <w:i/>
        </w:rPr>
        <w:t>Journal of Happiness Studies, 3</w:t>
      </w:r>
      <w:r w:rsidRPr="004504EB">
        <w:t xml:space="preserve">(1), 37-69. </w:t>
      </w:r>
    </w:p>
    <w:p w:rsidR="004504EB" w:rsidRPr="004504EB" w:rsidRDefault="004504EB" w:rsidP="004504EB">
      <w:pPr>
        <w:pStyle w:val="EndNoteBibliography"/>
        <w:ind w:left="720" w:hanging="720"/>
      </w:pPr>
      <w:r w:rsidRPr="004504EB">
        <w:t xml:space="preserve">Cummins, R. A., Walter, J., &amp; Woerner, J. (2007a). </w:t>
      </w:r>
      <w:r w:rsidRPr="004504EB">
        <w:rPr>
          <w:i/>
        </w:rPr>
        <w:t xml:space="preserve">Australian Unity Wellbeing Index: Report 16.1 - “The Wellbeing of Australians - Groups with the highest and lowest wellbeing in Australia”. </w:t>
      </w:r>
      <w:r w:rsidRPr="004504EB">
        <w:t xml:space="preserve">. Melbourne: Australian Centre on Quality of Life, School of Psychology, Deakin University. </w:t>
      </w:r>
      <w:hyperlink r:id="rId240" w:anchor="reports" w:history="1">
        <w:r w:rsidRPr="004504EB">
          <w:rPr>
            <w:rStyle w:val="Hyperlink"/>
          </w:rPr>
          <w:t>http://www.acqol.com.au/publications#reports</w:t>
        </w:r>
      </w:hyperlink>
      <w:r w:rsidRPr="004504EB">
        <w:t>.</w:t>
      </w:r>
    </w:p>
    <w:p w:rsidR="004504EB" w:rsidRPr="004504EB" w:rsidRDefault="004504EB" w:rsidP="004504EB">
      <w:pPr>
        <w:pStyle w:val="EndNoteBibliography"/>
        <w:ind w:left="720" w:hanging="720"/>
      </w:pPr>
      <w:r w:rsidRPr="004504EB">
        <w:lastRenderedPageBreak/>
        <w:t xml:space="preserve">Davern, M., Cummins, R. A., &amp; Stokes, M. (2007). Subjective wellbeing as an affective/cognitive construct. </w:t>
      </w:r>
      <w:r w:rsidRPr="004504EB">
        <w:rPr>
          <w:i/>
        </w:rPr>
        <w:t>Journal of Happiness Studies, 8</w:t>
      </w:r>
      <w:r w:rsidRPr="004504EB">
        <w:t>(4), 429-449. doi:10.1007/s10902-007-9066-1</w:t>
      </w:r>
    </w:p>
    <w:p w:rsidR="004504EB" w:rsidRPr="004504EB" w:rsidRDefault="004504EB" w:rsidP="004504EB">
      <w:pPr>
        <w:pStyle w:val="EndNoteBibliography"/>
        <w:ind w:left="720" w:hanging="720"/>
      </w:pPr>
      <w:r w:rsidRPr="004504EB">
        <w:t xml:space="preserve">Diener, E., Emmons, R. A., Larsen, R. J., &amp; Griffin, S. (1985). The satisfaction with life scale. </w:t>
      </w:r>
      <w:r w:rsidRPr="004504EB">
        <w:rPr>
          <w:i/>
        </w:rPr>
        <w:t>Journal of Personality Assessment, 49</w:t>
      </w:r>
      <w:r w:rsidRPr="004504EB">
        <w:t xml:space="preserve">, 71-75. </w:t>
      </w:r>
    </w:p>
    <w:p w:rsidR="004504EB" w:rsidRPr="004504EB" w:rsidRDefault="004504EB" w:rsidP="004504EB">
      <w:pPr>
        <w:pStyle w:val="EndNoteBibliography"/>
        <w:ind w:left="720" w:hanging="720"/>
      </w:pPr>
      <w:r w:rsidRPr="004504EB">
        <w:t xml:space="preserve">Diener, E., &amp; Fujita, F. (1995). Resources, personal strivings, and subjective well-being: A nomothetic and idiographic approach. </w:t>
      </w:r>
      <w:r w:rsidRPr="004504EB">
        <w:rPr>
          <w:i/>
        </w:rPr>
        <w:t>Journal of Personality and Social Psychology, 68</w:t>
      </w:r>
      <w:r w:rsidRPr="004504EB">
        <w:t xml:space="preserve">(5), 926-935. </w:t>
      </w:r>
    </w:p>
    <w:p w:rsidR="004504EB" w:rsidRPr="004504EB" w:rsidRDefault="004504EB" w:rsidP="004504EB">
      <w:pPr>
        <w:pStyle w:val="EndNoteBibliography"/>
        <w:ind w:left="720" w:hanging="720"/>
      </w:pPr>
      <w:r w:rsidRPr="004504EB">
        <w:t xml:space="preserve">Ekkekakis, P. (2013). </w:t>
      </w:r>
      <w:r w:rsidRPr="004504EB">
        <w:rPr>
          <w:i/>
        </w:rPr>
        <w:t>The measurement of affect, mood, and emotion: A guide for health-behavioral research</w:t>
      </w:r>
      <w:r w:rsidRPr="004504EB">
        <w:t>. Cambridge: Cambridge University Press.</w:t>
      </w:r>
    </w:p>
    <w:p w:rsidR="004504EB" w:rsidRPr="004504EB" w:rsidRDefault="004504EB" w:rsidP="004504EB">
      <w:pPr>
        <w:pStyle w:val="EndNoteBibliography"/>
        <w:ind w:left="720" w:hanging="720"/>
      </w:pPr>
      <w:r w:rsidRPr="004504EB">
        <w:t xml:space="preserve">Espinoza, J. A., Meyer, J. P., Anderson, B. K., Vaters, C., &amp; Politis, C. (2018). Evidence for a bifactor structure of the Scales of Psychological Well-being using exploratory structural equation modeling. </w:t>
      </w:r>
      <w:r w:rsidRPr="004504EB">
        <w:rPr>
          <w:i/>
        </w:rPr>
        <w:t>Journal of Well-Being Assessment, 2</w:t>
      </w:r>
      <w:r w:rsidRPr="004504EB">
        <w:t xml:space="preserve">(1), 21-40. </w:t>
      </w:r>
    </w:p>
    <w:p w:rsidR="004504EB" w:rsidRPr="004504EB" w:rsidRDefault="004504EB" w:rsidP="004504EB">
      <w:pPr>
        <w:pStyle w:val="EndNoteBibliography"/>
        <w:ind w:left="720" w:hanging="720"/>
      </w:pPr>
      <w:r w:rsidRPr="004504EB">
        <w:t xml:space="preserve">Fabrigar, L. R., Visser, P. S., &amp; Browne, M. W. (1997). Conceptual and methodological issues in testing the circumplex structure of data in personality and social psychology. </w:t>
      </w:r>
      <w:r w:rsidRPr="004504EB">
        <w:rPr>
          <w:i/>
        </w:rPr>
        <w:t>Personality and Social Psychology Review, 1</w:t>
      </w:r>
      <w:r w:rsidRPr="004504EB">
        <w:t xml:space="preserve">, 184–203. </w:t>
      </w:r>
    </w:p>
    <w:p w:rsidR="004504EB" w:rsidRPr="004504EB" w:rsidRDefault="004504EB" w:rsidP="004504EB">
      <w:pPr>
        <w:pStyle w:val="EndNoteBibliography"/>
        <w:ind w:left="720" w:hanging="720"/>
      </w:pPr>
      <w:r w:rsidRPr="004504EB">
        <w:t xml:space="preserve">Gillis, J. R. (1981). </w:t>
      </w:r>
      <w:r w:rsidRPr="004504EB">
        <w:rPr>
          <w:i/>
        </w:rPr>
        <w:t>Youth and History: Tradition and Change in European Age Relations, 1770 Present</w:t>
      </w:r>
      <w:r w:rsidRPr="004504EB">
        <w:t>. New York, NY: Academic Press.</w:t>
      </w:r>
    </w:p>
    <w:p w:rsidR="004504EB" w:rsidRPr="004504EB" w:rsidRDefault="004504EB" w:rsidP="004504EB">
      <w:pPr>
        <w:pStyle w:val="EndNoteBibliography"/>
        <w:ind w:left="720" w:hanging="720"/>
      </w:pPr>
      <w:r w:rsidRPr="004504EB">
        <w:t xml:space="preserve">Greven, P. (1988). </w:t>
      </w:r>
      <w:r w:rsidRPr="004504EB">
        <w:rPr>
          <w:i/>
        </w:rPr>
        <w:t>The Protestant Temperament: Patterns of Child-Rearing, Religious Experience, and the Self in Early America</w:t>
      </w:r>
      <w:r w:rsidRPr="004504EB">
        <w:t>. Chicago: University of Chicago Press.</w:t>
      </w:r>
    </w:p>
    <w:p w:rsidR="004504EB" w:rsidRPr="004504EB" w:rsidRDefault="004504EB" w:rsidP="004504EB">
      <w:pPr>
        <w:pStyle w:val="EndNoteBibliography"/>
        <w:ind w:left="720" w:hanging="720"/>
      </w:pPr>
      <w:r w:rsidRPr="004504EB">
        <w:t xml:space="preserve">Grover, S., &amp; Helliwell, J. F. (2019). How’s life at home? New evidence on marriage and the set point for happiness. </w:t>
      </w:r>
      <w:r w:rsidRPr="004504EB">
        <w:rPr>
          <w:i/>
        </w:rPr>
        <w:t>Journal of Happiness Studies, 20</w:t>
      </w:r>
      <w:r w:rsidRPr="004504EB">
        <w:t xml:space="preserve">(2), 373-390. </w:t>
      </w:r>
    </w:p>
    <w:p w:rsidR="004504EB" w:rsidRPr="004504EB" w:rsidRDefault="004504EB" w:rsidP="004504EB">
      <w:pPr>
        <w:pStyle w:val="EndNoteBibliography"/>
        <w:ind w:left="720" w:hanging="720"/>
      </w:pPr>
      <w:r w:rsidRPr="004504EB">
        <w:t xml:space="preserve">Heine, S. J., Lehman, D. R., Markus, H. R., &amp; Kitayama, S. (1999). Is there a universal need for positive self-regard? </w:t>
      </w:r>
      <w:r w:rsidRPr="004504EB">
        <w:rPr>
          <w:i/>
        </w:rPr>
        <w:t>Psychological Review, 106</w:t>
      </w:r>
      <w:r w:rsidRPr="004504EB">
        <w:t xml:space="preserve">(4), 766-794. </w:t>
      </w:r>
    </w:p>
    <w:p w:rsidR="004504EB" w:rsidRPr="004504EB" w:rsidRDefault="004504EB" w:rsidP="004504EB">
      <w:pPr>
        <w:pStyle w:val="EndNoteBibliography"/>
        <w:ind w:left="720" w:hanging="720"/>
      </w:pPr>
      <w:r w:rsidRPr="004504EB">
        <w:t xml:space="preserve">Huta, V., &amp; Waterman, A. S. (2014). Eudaimonia and its distinction from hedonia: developing a classification and terminology for understanding conceptual and operational definitions. </w:t>
      </w:r>
      <w:r w:rsidRPr="004504EB">
        <w:rPr>
          <w:i/>
        </w:rPr>
        <w:t>Journal of Happiness Studies, 15</w:t>
      </w:r>
      <w:r w:rsidRPr="004504EB">
        <w:t>(6), 1425-1456. doi:10.1007/s10902-013-9485-0</w:t>
      </w:r>
    </w:p>
    <w:p w:rsidR="004504EB" w:rsidRPr="004504EB" w:rsidRDefault="004504EB" w:rsidP="004504EB">
      <w:pPr>
        <w:pStyle w:val="EndNoteBibliography"/>
        <w:ind w:left="720" w:hanging="720"/>
      </w:pPr>
      <w:r w:rsidRPr="004504EB">
        <w:t xml:space="preserve">Ioannidis, J. P. A. (2016). The mass production of redundant, misleading, and conflicted systematic reviews and meta‐analyses. </w:t>
      </w:r>
      <w:r w:rsidRPr="004504EB">
        <w:rPr>
          <w:i/>
        </w:rPr>
        <w:t>The Milbank Quarterly, 94</w:t>
      </w:r>
      <w:r w:rsidRPr="004504EB">
        <w:t xml:space="preserve">(3), 485-514. </w:t>
      </w:r>
    </w:p>
    <w:p w:rsidR="004504EB" w:rsidRPr="004504EB" w:rsidRDefault="004504EB" w:rsidP="004504EB">
      <w:pPr>
        <w:pStyle w:val="EndNoteBibliography"/>
        <w:ind w:left="720" w:hanging="720"/>
      </w:pPr>
      <w:r w:rsidRPr="004504EB">
        <w:t xml:space="preserve">Jefferson, T. (1776). </w:t>
      </w:r>
      <w:r w:rsidRPr="004504EB">
        <w:rPr>
          <w:i/>
        </w:rPr>
        <w:t>United States Declaration of Independence</w:t>
      </w:r>
      <w:r w:rsidRPr="004504EB">
        <w:t>. Philadelphia: John Dunlap.</w:t>
      </w:r>
    </w:p>
    <w:p w:rsidR="004504EB" w:rsidRPr="004504EB" w:rsidRDefault="004504EB" w:rsidP="004504EB">
      <w:pPr>
        <w:pStyle w:val="EndNoteBibliography"/>
        <w:ind w:left="720" w:hanging="720"/>
      </w:pPr>
      <w:r w:rsidRPr="004504EB">
        <w:t xml:space="preserve">Khor, S., Cummins, R. A., Fuller-Tyszkiewicz, M., Capic, T., Garth, E., Olsson, C. A., &amp; Hutchinson, D. (2019). </w:t>
      </w:r>
      <w:r w:rsidRPr="004504EB">
        <w:rPr>
          <w:i/>
        </w:rPr>
        <w:t>Australian Unity Wellbeing Index: - Report 35.1 Ageing Well: Predicting Positive Transitions to Retirement</w:t>
      </w:r>
      <w:r w:rsidRPr="004504EB">
        <w:t>. Geelong: Australian Centre on Quality of Life, School of Psychology, Deakin University. (in press).</w:t>
      </w:r>
    </w:p>
    <w:p w:rsidR="004504EB" w:rsidRPr="004504EB" w:rsidRDefault="004504EB" w:rsidP="004504EB">
      <w:pPr>
        <w:pStyle w:val="EndNoteBibliography"/>
        <w:ind w:left="720" w:hanging="720"/>
      </w:pPr>
      <w:r w:rsidRPr="004504EB">
        <w:t xml:space="preserve">Landau, S. I. (2005). Johnson's influence on Webster and Worcester in early American lexicography. </w:t>
      </w:r>
      <w:r w:rsidRPr="004504EB">
        <w:rPr>
          <w:i/>
        </w:rPr>
        <w:t>International Journal of Lexicography, 18</w:t>
      </w:r>
      <w:r w:rsidRPr="004504EB">
        <w:t xml:space="preserve">(2), 217-229. </w:t>
      </w:r>
    </w:p>
    <w:p w:rsidR="004504EB" w:rsidRPr="004504EB" w:rsidRDefault="004504EB" w:rsidP="004504EB">
      <w:pPr>
        <w:pStyle w:val="EndNoteBibliography"/>
        <w:ind w:left="720" w:hanging="720"/>
      </w:pPr>
      <w:r w:rsidRPr="004504EB">
        <w:t xml:space="preserve">Leader, D. (2007). A dark age for mental health. </w:t>
      </w:r>
      <w:r w:rsidRPr="004504EB">
        <w:rPr>
          <w:i/>
        </w:rPr>
        <w:t xml:space="preserve">Guardian [online]. Available at: </w:t>
      </w:r>
      <w:hyperlink r:id="rId241" w:history="1">
        <w:r w:rsidRPr="004504EB">
          <w:rPr>
            <w:rStyle w:val="Hyperlink"/>
            <w:i/>
          </w:rPr>
          <w:t>https://www.theguardian.com/commentisfree/2007/oct/13/comment.publicservices</w:t>
        </w:r>
      </w:hyperlink>
      <w:r w:rsidRPr="004504EB">
        <w:rPr>
          <w:i/>
        </w:rPr>
        <w:t xml:space="preserve"> [Accessed on 30 Sep 2019]</w:t>
      </w:r>
      <w:r w:rsidRPr="004504EB">
        <w:t xml:space="preserve">. </w:t>
      </w:r>
    </w:p>
    <w:p w:rsidR="004504EB" w:rsidRPr="004504EB" w:rsidRDefault="004504EB" w:rsidP="004504EB">
      <w:pPr>
        <w:pStyle w:val="EndNoteBibliography"/>
        <w:ind w:left="720" w:hanging="720"/>
      </w:pPr>
      <w:r w:rsidRPr="004504EB">
        <w:t xml:space="preserve">Lucas, R. E. (2007). Adaptation and the set-point model of Subjective Well-Being: Does happiness change after major life events? </w:t>
      </w:r>
      <w:r w:rsidRPr="004504EB">
        <w:rPr>
          <w:i/>
        </w:rPr>
        <w:t>Current Directions in Psychological Science, 16</w:t>
      </w:r>
      <w:r w:rsidRPr="004504EB">
        <w:t xml:space="preserve">, 75-79. </w:t>
      </w:r>
    </w:p>
    <w:p w:rsidR="004504EB" w:rsidRPr="004504EB" w:rsidRDefault="004504EB" w:rsidP="004504EB">
      <w:pPr>
        <w:pStyle w:val="EndNoteBibliography"/>
        <w:ind w:left="720" w:hanging="720"/>
      </w:pPr>
      <w:r w:rsidRPr="004504EB">
        <w:t xml:space="preserve">Lucas, R. E., Clark, A. E., Georgellis, Y., &amp; Diener, E. (2003). Reexamining adaptation and the set point model of happiness: Reactions to changes in marital status. </w:t>
      </w:r>
      <w:r w:rsidRPr="004504EB">
        <w:rPr>
          <w:i/>
        </w:rPr>
        <w:t xml:space="preserve">Journal of Personality and Social Psychology, 84 </w:t>
      </w:r>
      <w:r w:rsidRPr="004504EB">
        <w:t>(3), 527-539. doi:10.1037/0022-3514.84.3.527</w:t>
      </w:r>
    </w:p>
    <w:p w:rsidR="004504EB" w:rsidRPr="004504EB" w:rsidRDefault="004504EB" w:rsidP="004504EB">
      <w:pPr>
        <w:pStyle w:val="EndNoteBibliography"/>
        <w:ind w:left="720" w:hanging="720"/>
      </w:pPr>
      <w:r w:rsidRPr="004504EB">
        <w:t xml:space="preserve">Lyubomirsky, S., Sheldon, K. M., &amp; Schkade, D. (2005). Pursuing happiness: the architecture of sustainable change. </w:t>
      </w:r>
      <w:r w:rsidRPr="004504EB">
        <w:rPr>
          <w:i/>
        </w:rPr>
        <w:t>Review of General Psychology, 9</w:t>
      </w:r>
      <w:r w:rsidRPr="004504EB">
        <w:t xml:space="preserve">, 111-131. </w:t>
      </w:r>
    </w:p>
    <w:p w:rsidR="004504EB" w:rsidRPr="004504EB" w:rsidRDefault="004504EB" w:rsidP="004504EB">
      <w:pPr>
        <w:pStyle w:val="EndNoteBibliography"/>
        <w:ind w:left="720" w:hanging="720"/>
      </w:pPr>
      <w:r w:rsidRPr="004504EB">
        <w:t xml:space="preserve">Markus, H. R., &amp; Kitayama, S. (1991). Culture and the self: Implications for cognition, emotion, and motivation. </w:t>
      </w:r>
      <w:r w:rsidRPr="004504EB">
        <w:rPr>
          <w:i/>
        </w:rPr>
        <w:t>Psychological Review, 98</w:t>
      </w:r>
      <w:r w:rsidRPr="004504EB">
        <w:t xml:space="preserve">(2), 224-253. </w:t>
      </w:r>
    </w:p>
    <w:p w:rsidR="004504EB" w:rsidRPr="004504EB" w:rsidRDefault="004504EB" w:rsidP="004504EB">
      <w:pPr>
        <w:pStyle w:val="EndNoteBibliography"/>
        <w:ind w:left="720" w:hanging="720"/>
      </w:pPr>
      <w:r w:rsidRPr="004504EB">
        <w:lastRenderedPageBreak/>
        <w:t xml:space="preserve">McEwen, B. S. (1998). Stress, adaptation, and disease: Allostasis and allostatic load. </w:t>
      </w:r>
      <w:r w:rsidRPr="004504EB">
        <w:rPr>
          <w:i/>
        </w:rPr>
        <w:t>Annals of the New York Academy of Sciences, 840</w:t>
      </w:r>
      <w:r w:rsidRPr="004504EB">
        <w:t xml:space="preserve">(1), 33-44. </w:t>
      </w:r>
    </w:p>
    <w:p w:rsidR="004504EB" w:rsidRPr="004504EB" w:rsidRDefault="004504EB" w:rsidP="004504EB">
      <w:pPr>
        <w:pStyle w:val="EndNoteBibliography"/>
        <w:ind w:left="720" w:hanging="720"/>
      </w:pPr>
      <w:r w:rsidRPr="004504EB">
        <w:t xml:space="preserve">McEwen, B. S., &amp; Wingfield, J. C. (2003). The concept of allostasis in biology and biomedicine. </w:t>
      </w:r>
      <w:r w:rsidRPr="004504EB">
        <w:rPr>
          <w:i/>
        </w:rPr>
        <w:t>Hormones and behavior, 43</w:t>
      </w:r>
      <w:r w:rsidRPr="004504EB">
        <w:t xml:space="preserve">(1), 2-15. </w:t>
      </w:r>
    </w:p>
    <w:p w:rsidR="004504EB" w:rsidRPr="004504EB" w:rsidRDefault="004504EB" w:rsidP="004504EB">
      <w:pPr>
        <w:pStyle w:val="EndNoteBibliography"/>
        <w:ind w:left="720" w:hanging="720"/>
      </w:pPr>
      <w:r w:rsidRPr="004504EB">
        <w:t xml:space="preserve">Merriam-Webster. (2019). Online dictionary. Retrieved from </w:t>
      </w:r>
      <w:hyperlink r:id="rId242" w:history="1">
        <w:r w:rsidRPr="004504EB">
          <w:rPr>
            <w:rStyle w:val="Hyperlink"/>
          </w:rPr>
          <w:t>http://www.merriam-webster.com</w:t>
        </w:r>
      </w:hyperlink>
    </w:p>
    <w:p w:rsidR="004504EB" w:rsidRPr="004504EB" w:rsidRDefault="004504EB" w:rsidP="004504EB">
      <w:pPr>
        <w:pStyle w:val="EndNoteBibliography"/>
        <w:ind w:left="720" w:hanging="720"/>
      </w:pPr>
      <w:r w:rsidRPr="004504EB">
        <w:t xml:space="preserve">Michalos, A. C. (1985). Multiple Discrepancies Theory (MDT). </w:t>
      </w:r>
      <w:r w:rsidRPr="004504EB">
        <w:rPr>
          <w:i/>
        </w:rPr>
        <w:t>Social Indicators Research, 16</w:t>
      </w:r>
      <w:r w:rsidRPr="004504EB">
        <w:t xml:space="preserve">, 347-413. </w:t>
      </w:r>
    </w:p>
    <w:p w:rsidR="004504EB" w:rsidRPr="004504EB" w:rsidRDefault="004504EB" w:rsidP="004504EB">
      <w:pPr>
        <w:pStyle w:val="EndNoteBibliography"/>
        <w:ind w:left="720" w:hanging="720"/>
      </w:pPr>
      <w:r w:rsidRPr="004504EB">
        <w:t xml:space="preserve">Mikulincer, M., Florian, V., &amp; Tolmacz, R. (1990). Attachment styles and fear of personal death: A case study of affect regulation. </w:t>
      </w:r>
      <w:r w:rsidRPr="004504EB">
        <w:rPr>
          <w:i/>
        </w:rPr>
        <w:t>Journal of Personality and Social Psychology, 58</w:t>
      </w:r>
      <w:r w:rsidRPr="004504EB">
        <w:t xml:space="preserve">, 273-280. </w:t>
      </w:r>
    </w:p>
    <w:p w:rsidR="004504EB" w:rsidRPr="004504EB" w:rsidRDefault="004504EB" w:rsidP="004504EB">
      <w:pPr>
        <w:pStyle w:val="EndNoteBibliography"/>
        <w:ind w:left="720" w:hanging="720"/>
      </w:pPr>
      <w:r w:rsidRPr="004504EB">
        <w:t xml:space="preserve">Moher, D., Liberati, A., Tetzlaff, J., &amp; Altman, D. G. (2009). Preferred reporting items for systematic reviews and meta-analyses: the PRISMA statement. </w:t>
      </w:r>
      <w:r w:rsidRPr="004504EB">
        <w:rPr>
          <w:i/>
        </w:rPr>
        <w:t>Annals of Internal Medicine, 151</w:t>
      </w:r>
      <w:r w:rsidRPr="004504EB">
        <w:t xml:space="preserve">(4), 264-269. </w:t>
      </w:r>
    </w:p>
    <w:p w:rsidR="004504EB" w:rsidRPr="004504EB" w:rsidRDefault="004504EB" w:rsidP="004504EB">
      <w:pPr>
        <w:pStyle w:val="EndNoteBibliography"/>
        <w:ind w:left="720" w:hanging="720"/>
      </w:pPr>
      <w:r w:rsidRPr="004504EB">
        <w:t xml:space="preserve">Nunn, C. (2015). </w:t>
      </w:r>
      <w:r w:rsidRPr="004504EB">
        <w:rPr>
          <w:i/>
        </w:rPr>
        <w:t>The Value of Education; Learning for life: Global report</w:t>
      </w:r>
      <w:r w:rsidRPr="004504EB">
        <w:t xml:space="preserve">. London: HSBC Holdings plc </w:t>
      </w:r>
      <w:hyperlink r:id="rId243" w:history="1">
        <w:r w:rsidRPr="004504EB">
          <w:rPr>
            <w:rStyle w:val="Hyperlink"/>
          </w:rPr>
          <w:t>http://online.wsj.com/public/resources/documents/HSBCSurvey.pdf</w:t>
        </w:r>
      </w:hyperlink>
      <w:r w:rsidRPr="004504EB">
        <w:t>.</w:t>
      </w:r>
    </w:p>
    <w:p w:rsidR="004504EB" w:rsidRPr="004504EB" w:rsidRDefault="004504EB" w:rsidP="004504EB">
      <w:pPr>
        <w:pStyle w:val="EndNoteBibliography"/>
        <w:ind w:left="720" w:hanging="720"/>
      </w:pPr>
      <w:r w:rsidRPr="004504EB">
        <w:t xml:space="preserve">O'Brien, E., &amp; Epstein, S. (1988). </w:t>
      </w:r>
      <w:r w:rsidRPr="004504EB">
        <w:rPr>
          <w:i/>
        </w:rPr>
        <w:t>The Multidimensional Self-Esteem Inventory: Professional manual</w:t>
      </w:r>
      <w:r w:rsidRPr="004504EB">
        <w:t>. Odessa, FL: Psychological Assessment Resources.</w:t>
      </w:r>
    </w:p>
    <w:p w:rsidR="004504EB" w:rsidRPr="004504EB" w:rsidRDefault="004504EB" w:rsidP="004504EB">
      <w:pPr>
        <w:pStyle w:val="EndNoteBibliography"/>
        <w:ind w:left="720" w:hanging="720"/>
      </w:pPr>
      <w:r w:rsidRPr="004504EB">
        <w:t xml:space="preserve">Oishi, S. (2006). The concept of life satisfaction across cultures: An IRT analysis. </w:t>
      </w:r>
      <w:r w:rsidRPr="004504EB">
        <w:rPr>
          <w:i/>
        </w:rPr>
        <w:t>Journal of Research in Personality, 40</w:t>
      </w:r>
      <w:r w:rsidRPr="004504EB">
        <w:t xml:space="preserve">(4), 411-423. </w:t>
      </w:r>
    </w:p>
    <w:p w:rsidR="004504EB" w:rsidRPr="004504EB" w:rsidRDefault="004504EB" w:rsidP="004504EB">
      <w:pPr>
        <w:pStyle w:val="EndNoteBibliography"/>
        <w:ind w:left="720" w:hanging="720"/>
      </w:pPr>
      <w:r w:rsidRPr="004504EB">
        <w:t xml:space="preserve">Oishi, S. (2007). The application of structural equation modeling and item response theory to cross-cultural positive psychology research. In A. D. Ong &amp; M. v. Dulmen (Eds.), </w:t>
      </w:r>
      <w:r w:rsidRPr="004504EB">
        <w:rPr>
          <w:i/>
        </w:rPr>
        <w:t>Handbook of methods in positive psychology</w:t>
      </w:r>
      <w:r w:rsidRPr="004504EB">
        <w:t xml:space="preserve"> (pp. 126-138). New York: Oxford University Press.</w:t>
      </w:r>
    </w:p>
    <w:p w:rsidR="004504EB" w:rsidRPr="004504EB" w:rsidRDefault="004504EB" w:rsidP="004504EB">
      <w:pPr>
        <w:pStyle w:val="EndNoteBibliography"/>
        <w:ind w:left="720" w:hanging="720"/>
      </w:pPr>
      <w:r w:rsidRPr="004504EB">
        <w:t>Online Etymology Dictionary. (2019). Etymonline.com. Retrieved 19 Sept 2019.</w:t>
      </w:r>
    </w:p>
    <w:p w:rsidR="004504EB" w:rsidRPr="004504EB" w:rsidRDefault="004504EB" w:rsidP="004504EB">
      <w:pPr>
        <w:pStyle w:val="EndNoteBibliography"/>
        <w:ind w:left="720" w:hanging="720"/>
      </w:pPr>
      <w:r w:rsidRPr="004504EB">
        <w:t xml:space="preserve">Reis, H. T., Sheldon, K. M., Gable, S. L., Roscoe, J., &amp; Ryan, R. M. (2000). Daily well-being: The role of autonomy, competence, and relatedness. </w:t>
      </w:r>
      <w:r w:rsidRPr="004504EB">
        <w:rPr>
          <w:i/>
        </w:rPr>
        <w:t>Personality and Social Psychology Bulletin, 26</w:t>
      </w:r>
      <w:r w:rsidRPr="004504EB">
        <w:t xml:space="preserve">(4), 419-435. </w:t>
      </w:r>
    </w:p>
    <w:p w:rsidR="004504EB" w:rsidRPr="004504EB" w:rsidRDefault="004504EB" w:rsidP="004504EB">
      <w:pPr>
        <w:pStyle w:val="EndNoteBibliography"/>
        <w:ind w:left="720" w:hanging="720"/>
      </w:pPr>
      <w:r w:rsidRPr="004504EB">
        <w:t xml:space="preserve">Russel, D., Peplau, L. A., &amp; Cutrona, C. E. (1980). The revised UCLA Loneliness Scale: Concurrent and discriminant validity evidence. </w:t>
      </w:r>
      <w:r w:rsidRPr="004504EB">
        <w:rPr>
          <w:i/>
        </w:rPr>
        <w:t>Journal of Personality and Social Psychology, 39</w:t>
      </w:r>
      <w:r w:rsidRPr="004504EB">
        <w:t xml:space="preserve">(3), 472-480. </w:t>
      </w:r>
    </w:p>
    <w:p w:rsidR="004504EB" w:rsidRPr="004504EB" w:rsidRDefault="004504EB" w:rsidP="004504EB">
      <w:pPr>
        <w:pStyle w:val="EndNoteBibliography"/>
        <w:ind w:left="720" w:hanging="720"/>
      </w:pPr>
      <w:r w:rsidRPr="004504EB">
        <w:t xml:space="preserve">Russell, J. A. (1980). A circumplex model of affect. </w:t>
      </w:r>
      <w:r w:rsidRPr="004504EB">
        <w:rPr>
          <w:i/>
        </w:rPr>
        <w:t>Journal of Personality and Social Psychology, 39</w:t>
      </w:r>
      <w:r w:rsidRPr="004504EB">
        <w:t xml:space="preserve">, 1161-1178. </w:t>
      </w:r>
    </w:p>
    <w:p w:rsidR="004504EB" w:rsidRPr="004504EB" w:rsidRDefault="004504EB" w:rsidP="004504EB">
      <w:pPr>
        <w:pStyle w:val="EndNoteBibliography"/>
        <w:ind w:left="720" w:hanging="720"/>
      </w:pPr>
      <w:r w:rsidRPr="004504EB">
        <w:t xml:space="preserve">Ruta, D., Camfield, L., &amp; Donaldson, C. (2007). Sen and the art of quality of life maintenance: Towards a general theory of quality of life and its causation. </w:t>
      </w:r>
      <w:r w:rsidRPr="004504EB">
        <w:rPr>
          <w:i/>
        </w:rPr>
        <w:t>The Journal of Socio-Economics, 36</w:t>
      </w:r>
      <w:r w:rsidRPr="004504EB">
        <w:t xml:space="preserve">(3), 397-423. </w:t>
      </w:r>
    </w:p>
    <w:p w:rsidR="004504EB" w:rsidRPr="004504EB" w:rsidRDefault="004504EB" w:rsidP="004504EB">
      <w:pPr>
        <w:pStyle w:val="EndNoteBibliography"/>
        <w:ind w:left="720" w:hanging="720"/>
      </w:pPr>
      <w:r w:rsidRPr="004504EB">
        <w:t xml:space="preserve">Ryan, R. M., &amp; Deci, E. L. (2000). Self-determination theory and the facilitation of intrinsic motivation, social development, and well-being. </w:t>
      </w:r>
      <w:r w:rsidRPr="004504EB">
        <w:rPr>
          <w:i/>
        </w:rPr>
        <w:t>American Psychologist, 55</w:t>
      </w:r>
      <w:r w:rsidRPr="004504EB">
        <w:t xml:space="preserve">(1), 68-78. </w:t>
      </w:r>
    </w:p>
    <w:p w:rsidR="004504EB" w:rsidRPr="004504EB" w:rsidRDefault="004504EB" w:rsidP="004504EB">
      <w:pPr>
        <w:pStyle w:val="EndNoteBibliography"/>
        <w:ind w:left="720" w:hanging="720"/>
      </w:pPr>
      <w:r w:rsidRPr="004504EB">
        <w:t xml:space="preserve">Ryan, R. M., &amp; Deci, E. L. (2001). On Happiness and human potentials: A review of research on hedonic and eudaimonic well-being. </w:t>
      </w:r>
      <w:r w:rsidRPr="004504EB">
        <w:rPr>
          <w:i/>
        </w:rPr>
        <w:t>Annual Review of Psychology, 52</w:t>
      </w:r>
      <w:r w:rsidRPr="004504EB">
        <w:t xml:space="preserve">, 141-166. </w:t>
      </w:r>
    </w:p>
    <w:p w:rsidR="004504EB" w:rsidRPr="004504EB" w:rsidRDefault="004504EB" w:rsidP="004504EB">
      <w:pPr>
        <w:pStyle w:val="EndNoteBibliography"/>
        <w:ind w:left="720" w:hanging="720"/>
      </w:pPr>
      <w:r w:rsidRPr="004504EB">
        <w:t xml:space="preserve">Sapolsky, R. M. (1994). </w:t>
      </w:r>
      <w:r w:rsidRPr="004504EB">
        <w:rPr>
          <w:i/>
        </w:rPr>
        <w:t>Why zebras don't get ulcers: A guide to stress, stress-related diseases, and coping</w:t>
      </w:r>
      <w:r w:rsidRPr="004504EB">
        <w:t>. New York: W. H. Freeman.</w:t>
      </w:r>
    </w:p>
    <w:p w:rsidR="004504EB" w:rsidRPr="004504EB" w:rsidRDefault="004504EB" w:rsidP="004504EB">
      <w:pPr>
        <w:pStyle w:val="EndNoteBibliography"/>
        <w:ind w:left="720" w:hanging="720"/>
      </w:pPr>
      <w:r w:rsidRPr="004504EB">
        <w:t xml:space="preserve">Schulkin, J. (2011). Social allostasis: anticipatory regulation of the internal milieu. </w:t>
      </w:r>
      <w:r w:rsidRPr="004504EB">
        <w:rPr>
          <w:i/>
        </w:rPr>
        <w:t>Frontiers in evolutionary neuroscience, 2</w:t>
      </w:r>
      <w:r w:rsidRPr="004504EB">
        <w:t>(Article 111), 1-15. doi:10.3389/fnevo.2010.00111</w:t>
      </w:r>
    </w:p>
    <w:p w:rsidR="004504EB" w:rsidRPr="004504EB" w:rsidRDefault="004504EB" w:rsidP="004504EB">
      <w:pPr>
        <w:pStyle w:val="EndNoteBibliography"/>
        <w:ind w:left="720" w:hanging="720"/>
      </w:pPr>
      <w:r w:rsidRPr="004504EB">
        <w:t xml:space="preserve">Seligman, M. E. P., &amp; Csikszentmihalyi, M. (2000). Positive psychology: an introduction. </w:t>
      </w:r>
      <w:r w:rsidRPr="004504EB">
        <w:rPr>
          <w:i/>
        </w:rPr>
        <w:t>American Psychologist, 55</w:t>
      </w:r>
      <w:r w:rsidRPr="004504EB">
        <w:t xml:space="preserve">, 5-15. </w:t>
      </w:r>
    </w:p>
    <w:p w:rsidR="004504EB" w:rsidRPr="004504EB" w:rsidRDefault="004504EB" w:rsidP="004504EB">
      <w:pPr>
        <w:pStyle w:val="EndNoteBibliography"/>
        <w:ind w:left="720" w:hanging="720"/>
      </w:pPr>
      <w:r w:rsidRPr="004504EB">
        <w:t xml:space="preserve">Shannon, T. J. (2016). </w:t>
      </w:r>
      <w:r w:rsidRPr="004504EB">
        <w:rPr>
          <w:i/>
        </w:rPr>
        <w:t>What About That Pursuit of Happiness?</w:t>
      </w:r>
      <w:r w:rsidRPr="004504EB">
        <w:t xml:space="preserve"> Gettysburg Gettysburg College </w:t>
      </w:r>
      <w:hyperlink r:id="rId244" w:history="1">
        <w:r w:rsidRPr="004504EB">
          <w:rPr>
            <w:rStyle w:val="Hyperlink"/>
          </w:rPr>
          <w:t>https://cupola.gettysburg.edu/cgi/viewcontent.cgi?referer=https://en.wikipedia.org/</w:t>
        </w:r>
      </w:hyperlink>
    </w:p>
    <w:p w:rsidR="004504EB" w:rsidRPr="004504EB" w:rsidRDefault="004504EB" w:rsidP="004504EB">
      <w:pPr>
        <w:pStyle w:val="EndNoteBibliography"/>
        <w:ind w:left="720" w:hanging="720"/>
      </w:pPr>
      <w:r w:rsidRPr="004504EB">
        <w:t>&amp;httpsredir=1&amp;article=1074&amp;context=histfac.</w:t>
      </w:r>
    </w:p>
    <w:p w:rsidR="004504EB" w:rsidRPr="004504EB" w:rsidRDefault="004504EB" w:rsidP="004504EB">
      <w:pPr>
        <w:pStyle w:val="EndNoteBibliography"/>
        <w:ind w:left="720" w:hanging="720"/>
      </w:pPr>
      <w:r w:rsidRPr="004504EB">
        <w:lastRenderedPageBreak/>
        <w:t xml:space="preserve">Sheldon, K. M., &amp; Deci, E. (1996). The self-determination scale. </w:t>
      </w:r>
      <w:r w:rsidRPr="004504EB">
        <w:rPr>
          <w:i/>
        </w:rPr>
        <w:t>Unpublished manuscript, University of Rochester, 754</w:t>
      </w:r>
      <w:r w:rsidRPr="004504EB">
        <w:t xml:space="preserve">. </w:t>
      </w:r>
    </w:p>
    <w:p w:rsidR="004504EB" w:rsidRPr="004504EB" w:rsidRDefault="004504EB" w:rsidP="004504EB">
      <w:pPr>
        <w:pStyle w:val="EndNoteBibliography"/>
        <w:ind w:left="720" w:hanging="720"/>
      </w:pPr>
      <w:r w:rsidRPr="004504EB">
        <w:t xml:space="preserve">Stearns, P. N. (2014). Obedience and emotion: A challenge in the emotional history of childhood. </w:t>
      </w:r>
      <w:r w:rsidRPr="004504EB">
        <w:rPr>
          <w:i/>
        </w:rPr>
        <w:t>Journal of Social History, 47</w:t>
      </w:r>
      <w:r w:rsidRPr="004504EB">
        <w:t xml:space="preserve">(3), 593-611. </w:t>
      </w:r>
    </w:p>
    <w:p w:rsidR="004504EB" w:rsidRPr="004504EB" w:rsidRDefault="004504EB" w:rsidP="004504EB">
      <w:pPr>
        <w:pStyle w:val="EndNoteBibliography"/>
        <w:ind w:left="720" w:hanging="720"/>
      </w:pPr>
      <w:r w:rsidRPr="004504EB">
        <w:t xml:space="preserve">Stearns, P. N. (2019). Happy Children: A Modern Emotional Commitment. </w:t>
      </w:r>
      <w:r w:rsidRPr="004504EB">
        <w:rPr>
          <w:i/>
        </w:rPr>
        <w:t xml:space="preserve">Frontiers in psychology, 06 September 2019 </w:t>
      </w:r>
      <w:hyperlink r:id="rId245" w:history="1">
        <w:r w:rsidRPr="004504EB">
          <w:rPr>
            <w:rStyle w:val="Hyperlink"/>
            <w:i/>
          </w:rPr>
          <w:t>https://doi.org/10.3389/fpsyg.2019.02025</w:t>
        </w:r>
      </w:hyperlink>
      <w:r w:rsidRPr="004504EB">
        <w:t xml:space="preserve">. </w:t>
      </w:r>
    </w:p>
    <w:p w:rsidR="004504EB" w:rsidRPr="004504EB" w:rsidRDefault="004504EB" w:rsidP="004504EB">
      <w:pPr>
        <w:pStyle w:val="EndNoteBibliography"/>
        <w:ind w:left="720" w:hanging="720"/>
      </w:pPr>
      <w:r w:rsidRPr="004504EB">
        <w:t xml:space="preserve">Sterling, P., &amp; Eyer, J. (1988). Allostasis: A New Paradigm to Explain Arousal Pathology. Handbook of Life Stress. In S. Fisher &amp; J. Reason (Eds.), </w:t>
      </w:r>
      <w:r w:rsidRPr="004504EB">
        <w:rPr>
          <w:i/>
        </w:rPr>
        <w:t>Cognition and Health</w:t>
      </w:r>
      <w:r w:rsidRPr="004504EB">
        <w:t xml:space="preserve"> (pp. 629-649). New York: John Wiley &amp; Sons.</w:t>
      </w:r>
    </w:p>
    <w:p w:rsidR="004504EB" w:rsidRPr="004504EB" w:rsidRDefault="004504EB" w:rsidP="004504EB">
      <w:pPr>
        <w:pStyle w:val="EndNoteBibliography"/>
        <w:ind w:left="720" w:hanging="720"/>
      </w:pPr>
      <w:r w:rsidRPr="004504EB">
        <w:t xml:space="preserve">Suh, E., Diener, E., &amp; Frujita, F. (1996). Events and subjective well-being: Only recent events matter. </w:t>
      </w:r>
      <w:r w:rsidRPr="004504EB">
        <w:rPr>
          <w:i/>
        </w:rPr>
        <w:t>Journal of Personality and Social Psychology, 70</w:t>
      </w:r>
      <w:r w:rsidRPr="004504EB">
        <w:t>(5), 1091-1102. doi:10.1037//0022-3514.70.5.1091</w:t>
      </w:r>
    </w:p>
    <w:p w:rsidR="004504EB" w:rsidRPr="004504EB" w:rsidRDefault="004504EB" w:rsidP="004504EB">
      <w:pPr>
        <w:pStyle w:val="EndNoteBibliography"/>
        <w:ind w:left="720" w:hanging="720"/>
      </w:pPr>
      <w:r w:rsidRPr="004504EB">
        <w:t xml:space="preserve">Tomyn, A. J., &amp; Cummins, R. A. (2011a). Subjective wellbeing and homeostatically protected mood: Theory validation with adolescents. </w:t>
      </w:r>
      <w:r w:rsidRPr="004504EB">
        <w:rPr>
          <w:i/>
        </w:rPr>
        <w:t>Journal of Happiness Studies, 12</w:t>
      </w:r>
      <w:r w:rsidRPr="004504EB">
        <w:t>(5), 897-914. doi:10.1007/s10902-010-9235-5</w:t>
      </w:r>
    </w:p>
    <w:p w:rsidR="004504EB" w:rsidRPr="004504EB" w:rsidRDefault="004504EB" w:rsidP="004504EB">
      <w:pPr>
        <w:pStyle w:val="EndNoteBibliography"/>
        <w:ind w:left="720" w:hanging="720"/>
      </w:pPr>
      <w:r w:rsidRPr="004504EB">
        <w:t xml:space="preserve">Tomyn, A. J., Weinberg, M. K., &amp; Cummins, R. A. (2015). Intervention efficacy among ‘at risk’ adolescents: A test of Subjective Wellbeing Homeostasis Theory. </w:t>
      </w:r>
      <w:r w:rsidRPr="004504EB">
        <w:rPr>
          <w:i/>
        </w:rPr>
        <w:t>Social Indicators Research, 120</w:t>
      </w:r>
      <w:r w:rsidRPr="004504EB">
        <w:t>(3), 883-895. doi:10.1007/s11205-014-0619-5</w:t>
      </w:r>
    </w:p>
    <w:p w:rsidR="004504EB" w:rsidRPr="004504EB" w:rsidRDefault="004504EB" w:rsidP="004504EB">
      <w:pPr>
        <w:pStyle w:val="EndNoteBibliography"/>
        <w:ind w:left="720" w:hanging="720"/>
      </w:pPr>
      <w:r w:rsidRPr="004504EB">
        <w:t xml:space="preserve">Trostrup, C. H., Christiansen, A. B., Stølen, K. S., Nielsen, P. K., &amp; Stelter, R. (2019). The effect of nature exposure on the mental health of patients: a systematic review. </w:t>
      </w:r>
      <w:r w:rsidRPr="004504EB">
        <w:rPr>
          <w:i/>
        </w:rPr>
        <w:t>Quality of Life Research, 28</w:t>
      </w:r>
      <w:r w:rsidRPr="004504EB">
        <w:t xml:space="preserve">, 1695–1703. </w:t>
      </w:r>
    </w:p>
    <w:p w:rsidR="004504EB" w:rsidRPr="004504EB" w:rsidRDefault="004504EB" w:rsidP="004504EB">
      <w:pPr>
        <w:pStyle w:val="EndNoteBibliography"/>
        <w:ind w:left="720" w:hanging="720"/>
      </w:pPr>
      <w:r w:rsidRPr="004504EB">
        <w:t xml:space="preserve">VanDam, N. T., van Vugt, M. K., Vago, D. R., Schmalzl, L., Saron, C. D., Olendzki, A., . . . Gorchov, J. (2018). Mind the hype: A critical evaluation and prescriptive agenda for research on mindfulness and meditation. </w:t>
      </w:r>
      <w:r w:rsidRPr="004504EB">
        <w:rPr>
          <w:i/>
        </w:rPr>
        <w:t>Perspectives on Psychological Science, 13</w:t>
      </w:r>
      <w:r w:rsidRPr="004504EB">
        <w:t xml:space="preserve">(1), 36-61. </w:t>
      </w:r>
    </w:p>
    <w:p w:rsidR="004504EB" w:rsidRPr="004504EB" w:rsidRDefault="004504EB" w:rsidP="004504EB">
      <w:pPr>
        <w:pStyle w:val="EndNoteBibliography"/>
        <w:ind w:left="720" w:hanging="720"/>
      </w:pPr>
      <w:r w:rsidRPr="004504EB">
        <w:t xml:space="preserve">Webster, N. (1806). </w:t>
      </w:r>
      <w:r w:rsidRPr="004504EB">
        <w:rPr>
          <w:i/>
        </w:rPr>
        <w:t>A Compendious Dictionary of the English Language</w:t>
      </w:r>
      <w:r w:rsidRPr="004504EB">
        <w:t>. New Haven: Hartford.</w:t>
      </w:r>
    </w:p>
    <w:p w:rsidR="004504EB" w:rsidRPr="004504EB" w:rsidRDefault="004504EB" w:rsidP="004504EB">
      <w:pPr>
        <w:pStyle w:val="EndNoteBibliography"/>
        <w:ind w:left="720" w:hanging="720"/>
      </w:pPr>
      <w:r w:rsidRPr="004504EB">
        <w:t xml:space="preserve">Webster, N. (1828). </w:t>
      </w:r>
      <w:r w:rsidRPr="004504EB">
        <w:rPr>
          <w:i/>
        </w:rPr>
        <w:t>An American Dictionary of the English Language. (2 vols.)</w:t>
      </w:r>
      <w:r w:rsidRPr="004504EB">
        <w:t>. New York: S. Converse.</w:t>
      </w:r>
    </w:p>
    <w:p w:rsidR="004504EB" w:rsidRPr="004504EB" w:rsidRDefault="004504EB" w:rsidP="004504EB">
      <w:pPr>
        <w:pStyle w:val="EndNoteBibliography"/>
        <w:ind w:left="720" w:hanging="720"/>
      </w:pPr>
      <w:r w:rsidRPr="004504EB">
        <w:t xml:space="preserve">Webster, N. (1913). </w:t>
      </w:r>
      <w:r w:rsidRPr="004504EB">
        <w:rPr>
          <w:i/>
        </w:rPr>
        <w:t>Webster's Revised Unabridged Dictionary of the English Language: The Dictionary Proper Being the Authentic Ed. of Webster's International Dictionary of One Thousand Eight Hundred and Ninety, Ed. Under the Supervision of Noah Porter... to which is Now Added a Department of New Words, Together with Many Valuable Special Features</w:t>
      </w:r>
      <w:r w:rsidRPr="004504EB">
        <w:t>. Springfield, Mass: G. &amp; C. Merriam Company.</w:t>
      </w:r>
    </w:p>
    <w:p w:rsidR="004504EB" w:rsidRPr="004504EB" w:rsidRDefault="004504EB" w:rsidP="004504EB">
      <w:pPr>
        <w:pStyle w:val="EndNoteBibliography"/>
        <w:ind w:left="720" w:hanging="720"/>
      </w:pPr>
      <w:r w:rsidRPr="004504EB">
        <w:t xml:space="preserve">Yerkes, R. M., &amp; Dodson, J. D. (1908). The relation of strength of stimulus to rapidity of habit-formation. </w:t>
      </w:r>
      <w:r w:rsidRPr="004504EB">
        <w:rPr>
          <w:i/>
        </w:rPr>
        <w:t>Journal of Comparative Neurology and Psychology, 18</w:t>
      </w:r>
      <w:r w:rsidRPr="004504EB">
        <w:t>(5), 459–482. doi:10.1002/cne.920180503</w:t>
      </w:r>
    </w:p>
    <w:p w:rsidR="00CA4A49" w:rsidRDefault="007A5CDF" w:rsidP="003430D0">
      <w:pPr>
        <w:rPr>
          <w:rFonts w:eastAsia="Arial" w:cs="Times New Roman"/>
          <w:b/>
          <w:sz w:val="28"/>
          <w:szCs w:val="28"/>
        </w:rPr>
      </w:pPr>
      <w:r>
        <w:rPr>
          <w:rFonts w:eastAsia="Arial" w:cs="Times New Roman"/>
          <w:b/>
          <w:sz w:val="28"/>
          <w:szCs w:val="28"/>
        </w:rPr>
        <w:fldChar w:fldCharType="end"/>
      </w:r>
    </w:p>
    <w:sectPr w:rsidR="00CA4A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altName w:val="Calibri"/>
    <w:panose1 w:val="020B0604020202020204"/>
    <w:charset w:val="00"/>
    <w:family w:val="swiss"/>
    <w:pitch w:val="variable"/>
    <w:sig w:usb0="E4002EFF" w:usb1="C000E47F" w:usb2="00000009" w:usb3="00000000" w:csb0="000001FF" w:csb1="00000000"/>
  </w:font>
  <w:font w:name="Museo Sans 700">
    <w:altName w:val="Museo Sans 700"/>
    <w:panose1 w:val="020B0604020202020204"/>
    <w:charset w:val="00"/>
    <w:family w:val="swiss"/>
    <w:notTrueType/>
    <w:pitch w:val="default"/>
    <w:sig w:usb0="00000003" w:usb1="00000000" w:usb2="00000000" w:usb3="00000000" w:csb0="00000001" w:csb1="00000000"/>
  </w:font>
  <w:font w:name="Museo Sans 100">
    <w:altName w:val="Museo Sans 100"/>
    <w:panose1 w:val="020B0604020202020204"/>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OpenSans-Semibold">
    <w:altName w:val="Calibri"/>
    <w:panose1 w:val="020B0604020202020204"/>
    <w:charset w:val="00"/>
    <w:family w:val="swiss"/>
    <w:notTrueType/>
    <w:pitch w:val="default"/>
    <w:sig w:usb0="00000003" w:usb1="00000000" w:usb2="00000000" w:usb3="00000000" w:csb0="00000001" w:csb1="00000000"/>
  </w:font>
  <w:font w:name="OpenSans">
    <w:altName w:val="Calibri"/>
    <w:panose1 w:val="020B0604020202020204"/>
    <w:charset w:val="00"/>
    <w:family w:val="swiss"/>
    <w:notTrueType/>
    <w:pitch w:val="default"/>
    <w:sig w:usb0="00000003" w:usb1="00000000" w:usb2="00000000" w:usb3="00000000" w:csb0="00000001" w:csb1="00000000"/>
  </w:font>
  <w:font w:name="OpenSans-Bold">
    <w:altName w:val="Calibri"/>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MinionPro-Regular">
    <w:altName w:val="Calibri"/>
    <w:panose1 w:val="020B0604020202020204"/>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36AD0"/>
    <w:multiLevelType w:val="multilevel"/>
    <w:tmpl w:val="06BA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DC6AB9"/>
    <w:multiLevelType w:val="hybridMultilevel"/>
    <w:tmpl w:val="19D68F9C"/>
    <w:lvl w:ilvl="0" w:tplc="0060D06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32940BE"/>
    <w:multiLevelType w:val="hybridMultilevel"/>
    <w:tmpl w:val="8452A9C6"/>
    <w:lvl w:ilvl="0" w:tplc="0C09000F">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3" w15:restartNumberingAfterBreak="0">
    <w:nsid w:val="167A6B74"/>
    <w:multiLevelType w:val="hybridMultilevel"/>
    <w:tmpl w:val="F8DA525A"/>
    <w:lvl w:ilvl="0" w:tplc="0C09000F">
      <w:start w:val="1"/>
      <w:numFmt w:val="decimal"/>
      <w:lvlText w:val="%1."/>
      <w:lvlJc w:val="left"/>
      <w:pPr>
        <w:ind w:left="502"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 w15:restartNumberingAfterBreak="0">
    <w:nsid w:val="20E65930"/>
    <w:multiLevelType w:val="hybridMultilevel"/>
    <w:tmpl w:val="2B3E62B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78C533A"/>
    <w:multiLevelType w:val="multilevel"/>
    <w:tmpl w:val="6202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9A6982"/>
    <w:multiLevelType w:val="hybridMultilevel"/>
    <w:tmpl w:val="6712A7A0"/>
    <w:lvl w:ilvl="0" w:tplc="4B9E8156">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38125484"/>
    <w:multiLevelType w:val="hybridMultilevel"/>
    <w:tmpl w:val="3BB29F86"/>
    <w:lvl w:ilvl="0" w:tplc="486CB0CC">
      <w:start w:val="1"/>
      <w:numFmt w:val="bullet"/>
      <w:lvlText w:val="•"/>
      <w:lvlJc w:val="left"/>
      <w:pPr>
        <w:tabs>
          <w:tab w:val="num" w:pos="720"/>
        </w:tabs>
        <w:ind w:left="720" w:hanging="360"/>
      </w:pPr>
      <w:rPr>
        <w:rFonts w:ascii="Arial" w:hAnsi="Arial" w:cs="Times New Roman" w:hint="default"/>
      </w:rPr>
    </w:lvl>
    <w:lvl w:ilvl="1" w:tplc="0E1455FC">
      <w:start w:val="430"/>
      <w:numFmt w:val="bullet"/>
      <w:lvlText w:val="–"/>
      <w:lvlJc w:val="left"/>
      <w:pPr>
        <w:tabs>
          <w:tab w:val="num" w:pos="1440"/>
        </w:tabs>
        <w:ind w:left="1440" w:hanging="360"/>
      </w:pPr>
      <w:rPr>
        <w:rFonts w:ascii="Arial" w:hAnsi="Arial" w:cs="Times New Roman" w:hint="default"/>
      </w:rPr>
    </w:lvl>
    <w:lvl w:ilvl="2" w:tplc="4104C742">
      <w:start w:val="1"/>
      <w:numFmt w:val="bullet"/>
      <w:lvlText w:val="•"/>
      <w:lvlJc w:val="left"/>
      <w:pPr>
        <w:tabs>
          <w:tab w:val="num" w:pos="2160"/>
        </w:tabs>
        <w:ind w:left="2160" w:hanging="360"/>
      </w:pPr>
      <w:rPr>
        <w:rFonts w:ascii="Arial" w:hAnsi="Arial" w:cs="Times New Roman" w:hint="default"/>
      </w:rPr>
    </w:lvl>
    <w:lvl w:ilvl="3" w:tplc="B0508BDC">
      <w:start w:val="1"/>
      <w:numFmt w:val="bullet"/>
      <w:lvlText w:val="•"/>
      <w:lvlJc w:val="left"/>
      <w:pPr>
        <w:tabs>
          <w:tab w:val="num" w:pos="2880"/>
        </w:tabs>
        <w:ind w:left="2880" w:hanging="360"/>
      </w:pPr>
      <w:rPr>
        <w:rFonts w:ascii="Arial" w:hAnsi="Arial" w:cs="Times New Roman" w:hint="default"/>
      </w:rPr>
    </w:lvl>
    <w:lvl w:ilvl="4" w:tplc="EA38F66C">
      <w:start w:val="1"/>
      <w:numFmt w:val="bullet"/>
      <w:lvlText w:val="•"/>
      <w:lvlJc w:val="left"/>
      <w:pPr>
        <w:tabs>
          <w:tab w:val="num" w:pos="3600"/>
        </w:tabs>
        <w:ind w:left="3600" w:hanging="360"/>
      </w:pPr>
      <w:rPr>
        <w:rFonts w:ascii="Arial" w:hAnsi="Arial" w:cs="Times New Roman" w:hint="default"/>
      </w:rPr>
    </w:lvl>
    <w:lvl w:ilvl="5" w:tplc="35D46270">
      <w:start w:val="1"/>
      <w:numFmt w:val="bullet"/>
      <w:lvlText w:val="•"/>
      <w:lvlJc w:val="left"/>
      <w:pPr>
        <w:tabs>
          <w:tab w:val="num" w:pos="4320"/>
        </w:tabs>
        <w:ind w:left="4320" w:hanging="360"/>
      </w:pPr>
      <w:rPr>
        <w:rFonts w:ascii="Arial" w:hAnsi="Arial" w:cs="Times New Roman" w:hint="default"/>
      </w:rPr>
    </w:lvl>
    <w:lvl w:ilvl="6" w:tplc="C2304ED2">
      <w:start w:val="1"/>
      <w:numFmt w:val="bullet"/>
      <w:lvlText w:val="•"/>
      <w:lvlJc w:val="left"/>
      <w:pPr>
        <w:tabs>
          <w:tab w:val="num" w:pos="5040"/>
        </w:tabs>
        <w:ind w:left="5040" w:hanging="360"/>
      </w:pPr>
      <w:rPr>
        <w:rFonts w:ascii="Arial" w:hAnsi="Arial" w:cs="Times New Roman" w:hint="default"/>
      </w:rPr>
    </w:lvl>
    <w:lvl w:ilvl="7" w:tplc="293C6A54">
      <w:start w:val="1"/>
      <w:numFmt w:val="bullet"/>
      <w:lvlText w:val="•"/>
      <w:lvlJc w:val="left"/>
      <w:pPr>
        <w:tabs>
          <w:tab w:val="num" w:pos="5760"/>
        </w:tabs>
        <w:ind w:left="5760" w:hanging="360"/>
      </w:pPr>
      <w:rPr>
        <w:rFonts w:ascii="Arial" w:hAnsi="Arial" w:cs="Times New Roman" w:hint="default"/>
      </w:rPr>
    </w:lvl>
    <w:lvl w:ilvl="8" w:tplc="A3EE5C2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4B3521D"/>
    <w:multiLevelType w:val="hybridMultilevel"/>
    <w:tmpl w:val="5530A23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15:restartNumberingAfterBreak="0">
    <w:nsid w:val="467B1980"/>
    <w:multiLevelType w:val="hybridMultilevel"/>
    <w:tmpl w:val="FF62FF40"/>
    <w:lvl w:ilvl="0" w:tplc="EF960C5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8E23925"/>
    <w:multiLevelType w:val="hybridMultilevel"/>
    <w:tmpl w:val="34982F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65C20B3"/>
    <w:multiLevelType w:val="hybridMultilevel"/>
    <w:tmpl w:val="9848A83C"/>
    <w:lvl w:ilvl="0" w:tplc="0554AEBA">
      <w:start w:val="1"/>
      <w:numFmt w:val="lowerLetter"/>
      <w:lvlText w:val="(%1)"/>
      <w:lvlJc w:val="left"/>
      <w:pPr>
        <w:ind w:left="405" w:hanging="360"/>
      </w:pPr>
      <w:rPr>
        <w:rFonts w:hint="default"/>
      </w:rPr>
    </w:lvl>
    <w:lvl w:ilvl="1" w:tplc="0C090019" w:tentative="1">
      <w:start w:val="1"/>
      <w:numFmt w:val="lowerLetter"/>
      <w:lvlText w:val="%2."/>
      <w:lvlJc w:val="left"/>
      <w:pPr>
        <w:ind w:left="1125" w:hanging="360"/>
      </w:pPr>
    </w:lvl>
    <w:lvl w:ilvl="2" w:tplc="0C09001B" w:tentative="1">
      <w:start w:val="1"/>
      <w:numFmt w:val="lowerRoman"/>
      <w:lvlText w:val="%3."/>
      <w:lvlJc w:val="right"/>
      <w:pPr>
        <w:ind w:left="1845" w:hanging="180"/>
      </w:pPr>
    </w:lvl>
    <w:lvl w:ilvl="3" w:tplc="0C09000F" w:tentative="1">
      <w:start w:val="1"/>
      <w:numFmt w:val="decimal"/>
      <w:lvlText w:val="%4."/>
      <w:lvlJc w:val="left"/>
      <w:pPr>
        <w:ind w:left="2565" w:hanging="360"/>
      </w:pPr>
    </w:lvl>
    <w:lvl w:ilvl="4" w:tplc="0C090019" w:tentative="1">
      <w:start w:val="1"/>
      <w:numFmt w:val="lowerLetter"/>
      <w:lvlText w:val="%5."/>
      <w:lvlJc w:val="left"/>
      <w:pPr>
        <w:ind w:left="3285" w:hanging="360"/>
      </w:pPr>
    </w:lvl>
    <w:lvl w:ilvl="5" w:tplc="0C09001B" w:tentative="1">
      <w:start w:val="1"/>
      <w:numFmt w:val="lowerRoman"/>
      <w:lvlText w:val="%6."/>
      <w:lvlJc w:val="right"/>
      <w:pPr>
        <w:ind w:left="4005" w:hanging="180"/>
      </w:pPr>
    </w:lvl>
    <w:lvl w:ilvl="6" w:tplc="0C09000F" w:tentative="1">
      <w:start w:val="1"/>
      <w:numFmt w:val="decimal"/>
      <w:lvlText w:val="%7."/>
      <w:lvlJc w:val="left"/>
      <w:pPr>
        <w:ind w:left="4725" w:hanging="360"/>
      </w:pPr>
    </w:lvl>
    <w:lvl w:ilvl="7" w:tplc="0C090019" w:tentative="1">
      <w:start w:val="1"/>
      <w:numFmt w:val="lowerLetter"/>
      <w:lvlText w:val="%8."/>
      <w:lvlJc w:val="left"/>
      <w:pPr>
        <w:ind w:left="5445" w:hanging="360"/>
      </w:pPr>
    </w:lvl>
    <w:lvl w:ilvl="8" w:tplc="0C09001B" w:tentative="1">
      <w:start w:val="1"/>
      <w:numFmt w:val="lowerRoman"/>
      <w:lvlText w:val="%9."/>
      <w:lvlJc w:val="right"/>
      <w:pPr>
        <w:ind w:left="6165" w:hanging="180"/>
      </w:pPr>
    </w:lvl>
  </w:abstractNum>
  <w:abstractNum w:abstractNumId="12" w15:restartNumberingAfterBreak="0">
    <w:nsid w:val="6AD8264A"/>
    <w:multiLevelType w:val="hybridMultilevel"/>
    <w:tmpl w:val="55864DB2"/>
    <w:lvl w:ilvl="0" w:tplc="F46A1C84">
      <w:start w:val="2"/>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3C6321D"/>
    <w:multiLevelType w:val="multilevel"/>
    <w:tmpl w:val="878CA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
  </w:num>
  <w:num w:numId="12">
    <w:abstractNumId w:val="9"/>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2xarpe9cfrvp4ezdxk5ddx9dsrzr05f22sa&quot;&gt;Robert Cummins Endnote library&lt;record-ids&gt;&lt;item&gt;67&lt;/item&gt;&lt;item&gt;123&lt;/item&gt;&lt;item&gt;167&lt;/item&gt;&lt;item&gt;312&lt;/item&gt;&lt;item&gt;482&lt;/item&gt;&lt;item&gt;498&lt;/item&gt;&lt;item&gt;538&lt;/item&gt;&lt;item&gt;563&lt;/item&gt;&lt;item&gt;629&lt;/item&gt;&lt;item&gt;646&lt;/item&gt;&lt;item&gt;689&lt;/item&gt;&lt;item&gt;696&lt;/item&gt;&lt;item&gt;770&lt;/item&gt;&lt;item&gt;787&lt;/item&gt;&lt;item&gt;813&lt;/item&gt;&lt;item&gt;896&lt;/item&gt;&lt;item&gt;983&lt;/item&gt;&lt;item&gt;1013&lt;/item&gt;&lt;item&gt;1324&lt;/item&gt;&lt;item&gt;1468&lt;/item&gt;&lt;item&gt;1472&lt;/item&gt;&lt;item&gt;1511&lt;/item&gt;&lt;item&gt;1512&lt;/item&gt;&lt;item&gt;1513&lt;/item&gt;&lt;item&gt;1574&lt;/item&gt;&lt;item&gt;1575&lt;/item&gt;&lt;item&gt;1602&lt;/item&gt;&lt;item&gt;1751&lt;/item&gt;&lt;item&gt;1783&lt;/item&gt;&lt;item&gt;1785&lt;/item&gt;&lt;item&gt;2144&lt;/item&gt;&lt;item&gt;2189&lt;/item&gt;&lt;item&gt;2262&lt;/item&gt;&lt;item&gt;2272&lt;/item&gt;&lt;item&gt;2341&lt;/item&gt;&lt;item&gt;2872&lt;/item&gt;&lt;item&gt;2895&lt;/item&gt;&lt;item&gt;2946&lt;/item&gt;&lt;item&gt;3028&lt;/item&gt;&lt;item&gt;3143&lt;/item&gt;&lt;item&gt;3195&lt;/item&gt;&lt;item&gt;3295&lt;/item&gt;&lt;item&gt;3306&lt;/item&gt;&lt;item&gt;3307&lt;/item&gt;&lt;item&gt;3308&lt;/item&gt;&lt;item&gt;3440&lt;/item&gt;&lt;item&gt;3471&lt;/item&gt;&lt;item&gt;3567&lt;/item&gt;&lt;item&gt;3600&lt;/item&gt;&lt;item&gt;3653&lt;/item&gt;&lt;item&gt;3695&lt;/item&gt;&lt;item&gt;3870&lt;/item&gt;&lt;item&gt;3884&lt;/item&gt;&lt;item&gt;3887&lt;/item&gt;&lt;item&gt;3888&lt;/item&gt;&lt;item&gt;3891&lt;/item&gt;&lt;item&gt;3894&lt;/item&gt;&lt;item&gt;3896&lt;/item&gt;&lt;item&gt;3897&lt;/item&gt;&lt;item&gt;3903&lt;/item&gt;&lt;item&gt;3904&lt;/item&gt;&lt;item&gt;3907&lt;/item&gt;&lt;item&gt;3908&lt;/item&gt;&lt;item&gt;3909&lt;/item&gt;&lt;item&gt;3912&lt;/item&gt;&lt;item&gt;3917&lt;/item&gt;&lt;item&gt;3918&lt;/item&gt;&lt;item&gt;3919&lt;/item&gt;&lt;item&gt;3921&lt;/item&gt;&lt;item&gt;3928&lt;/item&gt;&lt;item&gt;3932&lt;/item&gt;&lt;item&gt;3934&lt;/item&gt;&lt;item&gt;3935&lt;/item&gt;&lt;item&gt;3936&lt;/item&gt;&lt;item&gt;3937&lt;/item&gt;&lt;item&gt;3939&lt;/item&gt;&lt;item&gt;3941&lt;/item&gt;&lt;item&gt;3944&lt;/item&gt;&lt;item&gt;3945&lt;/item&gt;&lt;item&gt;3947&lt;/item&gt;&lt;item&gt;3948&lt;/item&gt;&lt;/record-ids&gt;&lt;/item&gt;&lt;/Libraries&gt;"/>
  </w:docVars>
  <w:rsids>
    <w:rsidRoot w:val="00F614BD"/>
    <w:rsid w:val="00000857"/>
    <w:rsid w:val="000022F0"/>
    <w:rsid w:val="00003C1B"/>
    <w:rsid w:val="000040BF"/>
    <w:rsid w:val="000066EF"/>
    <w:rsid w:val="000128E6"/>
    <w:rsid w:val="00014FC9"/>
    <w:rsid w:val="00015E69"/>
    <w:rsid w:val="00015F4F"/>
    <w:rsid w:val="000236B4"/>
    <w:rsid w:val="00024DB0"/>
    <w:rsid w:val="0003235D"/>
    <w:rsid w:val="00032392"/>
    <w:rsid w:val="000327CF"/>
    <w:rsid w:val="00035BC4"/>
    <w:rsid w:val="0003649D"/>
    <w:rsid w:val="0003663D"/>
    <w:rsid w:val="0003699B"/>
    <w:rsid w:val="0004067D"/>
    <w:rsid w:val="00043226"/>
    <w:rsid w:val="00047271"/>
    <w:rsid w:val="00050F70"/>
    <w:rsid w:val="000513E1"/>
    <w:rsid w:val="00051BD6"/>
    <w:rsid w:val="000529E0"/>
    <w:rsid w:val="00053A38"/>
    <w:rsid w:val="00057433"/>
    <w:rsid w:val="00057E4A"/>
    <w:rsid w:val="00057EF7"/>
    <w:rsid w:val="00060092"/>
    <w:rsid w:val="000603B6"/>
    <w:rsid w:val="00060E66"/>
    <w:rsid w:val="0006140A"/>
    <w:rsid w:val="00062AF2"/>
    <w:rsid w:val="00062BD8"/>
    <w:rsid w:val="00063731"/>
    <w:rsid w:val="0006399A"/>
    <w:rsid w:val="0006687A"/>
    <w:rsid w:val="00066A2B"/>
    <w:rsid w:val="00066D26"/>
    <w:rsid w:val="00066E7C"/>
    <w:rsid w:val="0006797F"/>
    <w:rsid w:val="00070E42"/>
    <w:rsid w:val="00070E5F"/>
    <w:rsid w:val="00071B77"/>
    <w:rsid w:val="00071D78"/>
    <w:rsid w:val="00071DA6"/>
    <w:rsid w:val="00072272"/>
    <w:rsid w:val="000738C3"/>
    <w:rsid w:val="00076AF3"/>
    <w:rsid w:val="000774C6"/>
    <w:rsid w:val="00081579"/>
    <w:rsid w:val="00090A95"/>
    <w:rsid w:val="00090B64"/>
    <w:rsid w:val="00093850"/>
    <w:rsid w:val="00093ABA"/>
    <w:rsid w:val="00097BC4"/>
    <w:rsid w:val="000A0348"/>
    <w:rsid w:val="000A03D4"/>
    <w:rsid w:val="000A0DEC"/>
    <w:rsid w:val="000A12A6"/>
    <w:rsid w:val="000A2572"/>
    <w:rsid w:val="000A4FA9"/>
    <w:rsid w:val="000A6329"/>
    <w:rsid w:val="000A6964"/>
    <w:rsid w:val="000A7AA1"/>
    <w:rsid w:val="000B05BA"/>
    <w:rsid w:val="000B1FCD"/>
    <w:rsid w:val="000B32BA"/>
    <w:rsid w:val="000B3A00"/>
    <w:rsid w:val="000B3C82"/>
    <w:rsid w:val="000C0251"/>
    <w:rsid w:val="000C1C6B"/>
    <w:rsid w:val="000C203B"/>
    <w:rsid w:val="000C457D"/>
    <w:rsid w:val="000C4BB7"/>
    <w:rsid w:val="000C58FB"/>
    <w:rsid w:val="000D0AAB"/>
    <w:rsid w:val="000D2263"/>
    <w:rsid w:val="000D25A1"/>
    <w:rsid w:val="000D3897"/>
    <w:rsid w:val="000D3BD4"/>
    <w:rsid w:val="000D5B0D"/>
    <w:rsid w:val="000D5DAD"/>
    <w:rsid w:val="000E05C1"/>
    <w:rsid w:val="000E3CB1"/>
    <w:rsid w:val="000E3FDC"/>
    <w:rsid w:val="000E3FE4"/>
    <w:rsid w:val="000E4918"/>
    <w:rsid w:val="000E59DD"/>
    <w:rsid w:val="000E5A06"/>
    <w:rsid w:val="000E63B0"/>
    <w:rsid w:val="000F0C50"/>
    <w:rsid w:val="000F2369"/>
    <w:rsid w:val="000F6A89"/>
    <w:rsid w:val="0010181E"/>
    <w:rsid w:val="00101D95"/>
    <w:rsid w:val="0010323C"/>
    <w:rsid w:val="001043ED"/>
    <w:rsid w:val="00106FE9"/>
    <w:rsid w:val="001118F0"/>
    <w:rsid w:val="001119DC"/>
    <w:rsid w:val="00111E18"/>
    <w:rsid w:val="001126A0"/>
    <w:rsid w:val="00113761"/>
    <w:rsid w:val="0011382A"/>
    <w:rsid w:val="00113A56"/>
    <w:rsid w:val="00117365"/>
    <w:rsid w:val="0012024A"/>
    <w:rsid w:val="00122B1A"/>
    <w:rsid w:val="001252C4"/>
    <w:rsid w:val="00126AB4"/>
    <w:rsid w:val="00127057"/>
    <w:rsid w:val="0013611F"/>
    <w:rsid w:val="001362AA"/>
    <w:rsid w:val="00140340"/>
    <w:rsid w:val="00140951"/>
    <w:rsid w:val="001411B0"/>
    <w:rsid w:val="00142B8D"/>
    <w:rsid w:val="0014419E"/>
    <w:rsid w:val="001467BD"/>
    <w:rsid w:val="00146C61"/>
    <w:rsid w:val="00147B67"/>
    <w:rsid w:val="001548B3"/>
    <w:rsid w:val="00154A9D"/>
    <w:rsid w:val="00155BB1"/>
    <w:rsid w:val="00155E36"/>
    <w:rsid w:val="0016097E"/>
    <w:rsid w:val="00162208"/>
    <w:rsid w:val="00165158"/>
    <w:rsid w:val="001655EA"/>
    <w:rsid w:val="001667E6"/>
    <w:rsid w:val="00167014"/>
    <w:rsid w:val="001674E7"/>
    <w:rsid w:val="00167663"/>
    <w:rsid w:val="00170F73"/>
    <w:rsid w:val="0017220E"/>
    <w:rsid w:val="001722DE"/>
    <w:rsid w:val="00172765"/>
    <w:rsid w:val="00172E77"/>
    <w:rsid w:val="00173464"/>
    <w:rsid w:val="00174209"/>
    <w:rsid w:val="001778B0"/>
    <w:rsid w:val="00181348"/>
    <w:rsid w:val="00183543"/>
    <w:rsid w:val="0018484B"/>
    <w:rsid w:val="00187E87"/>
    <w:rsid w:val="00191DAF"/>
    <w:rsid w:val="001947D6"/>
    <w:rsid w:val="001953E3"/>
    <w:rsid w:val="001A0009"/>
    <w:rsid w:val="001A130E"/>
    <w:rsid w:val="001A1A83"/>
    <w:rsid w:val="001A2A7D"/>
    <w:rsid w:val="001A42EC"/>
    <w:rsid w:val="001B017B"/>
    <w:rsid w:val="001B133D"/>
    <w:rsid w:val="001B25D9"/>
    <w:rsid w:val="001B384F"/>
    <w:rsid w:val="001B4F96"/>
    <w:rsid w:val="001B7C40"/>
    <w:rsid w:val="001C0087"/>
    <w:rsid w:val="001C5F87"/>
    <w:rsid w:val="001C7231"/>
    <w:rsid w:val="001D3C32"/>
    <w:rsid w:val="001D3EE1"/>
    <w:rsid w:val="001D438D"/>
    <w:rsid w:val="001D49A4"/>
    <w:rsid w:val="001D60B9"/>
    <w:rsid w:val="001D7118"/>
    <w:rsid w:val="001E5C04"/>
    <w:rsid w:val="001F5D61"/>
    <w:rsid w:val="001F5FD1"/>
    <w:rsid w:val="002003B2"/>
    <w:rsid w:val="00200713"/>
    <w:rsid w:val="0020187B"/>
    <w:rsid w:val="002018B7"/>
    <w:rsid w:val="00202D9E"/>
    <w:rsid w:val="0020522B"/>
    <w:rsid w:val="002063E6"/>
    <w:rsid w:val="00210776"/>
    <w:rsid w:val="00210A58"/>
    <w:rsid w:val="00211B33"/>
    <w:rsid w:val="00212C69"/>
    <w:rsid w:val="0021360C"/>
    <w:rsid w:val="00213F73"/>
    <w:rsid w:val="00215E0F"/>
    <w:rsid w:val="00220C22"/>
    <w:rsid w:val="00221A00"/>
    <w:rsid w:val="00222D90"/>
    <w:rsid w:val="00226048"/>
    <w:rsid w:val="00227717"/>
    <w:rsid w:val="002319C6"/>
    <w:rsid w:val="00231DE2"/>
    <w:rsid w:val="00232ECC"/>
    <w:rsid w:val="002334E6"/>
    <w:rsid w:val="00233E87"/>
    <w:rsid w:val="00234038"/>
    <w:rsid w:val="002354B4"/>
    <w:rsid w:val="00235BEB"/>
    <w:rsid w:val="00240497"/>
    <w:rsid w:val="002419C3"/>
    <w:rsid w:val="00245282"/>
    <w:rsid w:val="00245727"/>
    <w:rsid w:val="00245A24"/>
    <w:rsid w:val="00252600"/>
    <w:rsid w:val="00254807"/>
    <w:rsid w:val="00256F9C"/>
    <w:rsid w:val="0026039B"/>
    <w:rsid w:val="00263DE4"/>
    <w:rsid w:val="002657CB"/>
    <w:rsid w:val="00267F35"/>
    <w:rsid w:val="00270108"/>
    <w:rsid w:val="002701CF"/>
    <w:rsid w:val="00270410"/>
    <w:rsid w:val="002719A0"/>
    <w:rsid w:val="002744C2"/>
    <w:rsid w:val="00275005"/>
    <w:rsid w:val="0027561F"/>
    <w:rsid w:val="00277859"/>
    <w:rsid w:val="002832FB"/>
    <w:rsid w:val="00284041"/>
    <w:rsid w:val="00284504"/>
    <w:rsid w:val="002854DF"/>
    <w:rsid w:val="002867EC"/>
    <w:rsid w:val="00287905"/>
    <w:rsid w:val="00294DBE"/>
    <w:rsid w:val="0029675A"/>
    <w:rsid w:val="00297DF0"/>
    <w:rsid w:val="002A0308"/>
    <w:rsid w:val="002A0F0F"/>
    <w:rsid w:val="002A2142"/>
    <w:rsid w:val="002A5B73"/>
    <w:rsid w:val="002A6496"/>
    <w:rsid w:val="002A7FAB"/>
    <w:rsid w:val="002B0B1A"/>
    <w:rsid w:val="002B240F"/>
    <w:rsid w:val="002B293C"/>
    <w:rsid w:val="002B32A0"/>
    <w:rsid w:val="002B3542"/>
    <w:rsid w:val="002B4993"/>
    <w:rsid w:val="002B504F"/>
    <w:rsid w:val="002C06D8"/>
    <w:rsid w:val="002C1E3C"/>
    <w:rsid w:val="002C294C"/>
    <w:rsid w:val="002C296F"/>
    <w:rsid w:val="002C621C"/>
    <w:rsid w:val="002C7CB6"/>
    <w:rsid w:val="002D6BAD"/>
    <w:rsid w:val="002E12C7"/>
    <w:rsid w:val="002E1A59"/>
    <w:rsid w:val="002E6752"/>
    <w:rsid w:val="002E76B4"/>
    <w:rsid w:val="002E781F"/>
    <w:rsid w:val="002F0A54"/>
    <w:rsid w:val="002F1F01"/>
    <w:rsid w:val="002F40CE"/>
    <w:rsid w:val="002F4B0E"/>
    <w:rsid w:val="002F70D4"/>
    <w:rsid w:val="002F74D7"/>
    <w:rsid w:val="00301EBC"/>
    <w:rsid w:val="00302F0A"/>
    <w:rsid w:val="0031295A"/>
    <w:rsid w:val="003153DA"/>
    <w:rsid w:val="00316477"/>
    <w:rsid w:val="00317A78"/>
    <w:rsid w:val="00320EE6"/>
    <w:rsid w:val="003212FD"/>
    <w:rsid w:val="00321A96"/>
    <w:rsid w:val="00321F9F"/>
    <w:rsid w:val="0032473D"/>
    <w:rsid w:val="003257BA"/>
    <w:rsid w:val="00331FC4"/>
    <w:rsid w:val="00335D2F"/>
    <w:rsid w:val="00340B13"/>
    <w:rsid w:val="003430D0"/>
    <w:rsid w:val="0034314B"/>
    <w:rsid w:val="00343217"/>
    <w:rsid w:val="00344084"/>
    <w:rsid w:val="00345B57"/>
    <w:rsid w:val="00351862"/>
    <w:rsid w:val="003520A6"/>
    <w:rsid w:val="00356713"/>
    <w:rsid w:val="00356D40"/>
    <w:rsid w:val="00361283"/>
    <w:rsid w:val="00362AC1"/>
    <w:rsid w:val="003652EB"/>
    <w:rsid w:val="00374BC5"/>
    <w:rsid w:val="00375620"/>
    <w:rsid w:val="00377545"/>
    <w:rsid w:val="00377935"/>
    <w:rsid w:val="0038263B"/>
    <w:rsid w:val="00384182"/>
    <w:rsid w:val="003848B4"/>
    <w:rsid w:val="00386982"/>
    <w:rsid w:val="003909CC"/>
    <w:rsid w:val="00390E46"/>
    <w:rsid w:val="00391EB9"/>
    <w:rsid w:val="00392D27"/>
    <w:rsid w:val="003940E4"/>
    <w:rsid w:val="003A1639"/>
    <w:rsid w:val="003A195C"/>
    <w:rsid w:val="003A38C4"/>
    <w:rsid w:val="003A500B"/>
    <w:rsid w:val="003A5F07"/>
    <w:rsid w:val="003A6BDC"/>
    <w:rsid w:val="003B0794"/>
    <w:rsid w:val="003B1106"/>
    <w:rsid w:val="003B163E"/>
    <w:rsid w:val="003B3289"/>
    <w:rsid w:val="003B3F04"/>
    <w:rsid w:val="003B4945"/>
    <w:rsid w:val="003B51B9"/>
    <w:rsid w:val="003B6E3D"/>
    <w:rsid w:val="003C0652"/>
    <w:rsid w:val="003C34FB"/>
    <w:rsid w:val="003C37DF"/>
    <w:rsid w:val="003C5E96"/>
    <w:rsid w:val="003C6497"/>
    <w:rsid w:val="003D15EA"/>
    <w:rsid w:val="003D2252"/>
    <w:rsid w:val="003D43D9"/>
    <w:rsid w:val="003D60D9"/>
    <w:rsid w:val="003D6124"/>
    <w:rsid w:val="003D68AB"/>
    <w:rsid w:val="003E08F6"/>
    <w:rsid w:val="003E09FE"/>
    <w:rsid w:val="003E1BB4"/>
    <w:rsid w:val="003E4F1F"/>
    <w:rsid w:val="003E5104"/>
    <w:rsid w:val="003E6057"/>
    <w:rsid w:val="003E6F3E"/>
    <w:rsid w:val="003E7828"/>
    <w:rsid w:val="003F44D7"/>
    <w:rsid w:val="003F6F66"/>
    <w:rsid w:val="003F7D2A"/>
    <w:rsid w:val="00400928"/>
    <w:rsid w:val="004022C0"/>
    <w:rsid w:val="00405C9F"/>
    <w:rsid w:val="00405CDF"/>
    <w:rsid w:val="00410635"/>
    <w:rsid w:val="0041134B"/>
    <w:rsid w:val="00411B9B"/>
    <w:rsid w:val="0041212E"/>
    <w:rsid w:val="004135C4"/>
    <w:rsid w:val="0041424D"/>
    <w:rsid w:val="004207A6"/>
    <w:rsid w:val="0042096F"/>
    <w:rsid w:val="0042116A"/>
    <w:rsid w:val="00421A19"/>
    <w:rsid w:val="00423477"/>
    <w:rsid w:val="00423713"/>
    <w:rsid w:val="00425C6E"/>
    <w:rsid w:val="0042634E"/>
    <w:rsid w:val="00427BCD"/>
    <w:rsid w:val="00430C69"/>
    <w:rsid w:val="004314EA"/>
    <w:rsid w:val="00436CBE"/>
    <w:rsid w:val="00447274"/>
    <w:rsid w:val="0044754A"/>
    <w:rsid w:val="004504EB"/>
    <w:rsid w:val="00452913"/>
    <w:rsid w:val="00452F29"/>
    <w:rsid w:val="00456581"/>
    <w:rsid w:val="00460E45"/>
    <w:rsid w:val="00465083"/>
    <w:rsid w:val="00465CF5"/>
    <w:rsid w:val="00470169"/>
    <w:rsid w:val="00474897"/>
    <w:rsid w:val="00474D12"/>
    <w:rsid w:val="00475EF2"/>
    <w:rsid w:val="00476FD6"/>
    <w:rsid w:val="00481B3B"/>
    <w:rsid w:val="0048319F"/>
    <w:rsid w:val="004848B9"/>
    <w:rsid w:val="004940E5"/>
    <w:rsid w:val="00495756"/>
    <w:rsid w:val="00496A94"/>
    <w:rsid w:val="004A1A95"/>
    <w:rsid w:val="004A2F62"/>
    <w:rsid w:val="004A3A2A"/>
    <w:rsid w:val="004A4BAE"/>
    <w:rsid w:val="004A63DE"/>
    <w:rsid w:val="004B07D1"/>
    <w:rsid w:val="004B1577"/>
    <w:rsid w:val="004B5637"/>
    <w:rsid w:val="004B5F56"/>
    <w:rsid w:val="004C1DA6"/>
    <w:rsid w:val="004C2293"/>
    <w:rsid w:val="004C244C"/>
    <w:rsid w:val="004C3931"/>
    <w:rsid w:val="004C56CC"/>
    <w:rsid w:val="004C5D20"/>
    <w:rsid w:val="004D0280"/>
    <w:rsid w:val="004D0B1F"/>
    <w:rsid w:val="004D12DD"/>
    <w:rsid w:val="004D201C"/>
    <w:rsid w:val="004D30A2"/>
    <w:rsid w:val="004D5F7E"/>
    <w:rsid w:val="004E3AC7"/>
    <w:rsid w:val="004E40FD"/>
    <w:rsid w:val="004E7A42"/>
    <w:rsid w:val="004F445D"/>
    <w:rsid w:val="004F4F51"/>
    <w:rsid w:val="004F7249"/>
    <w:rsid w:val="004F78AD"/>
    <w:rsid w:val="00500D95"/>
    <w:rsid w:val="0050186C"/>
    <w:rsid w:val="00502929"/>
    <w:rsid w:val="0050454E"/>
    <w:rsid w:val="00505766"/>
    <w:rsid w:val="00505A87"/>
    <w:rsid w:val="00505F78"/>
    <w:rsid w:val="0050654E"/>
    <w:rsid w:val="00512091"/>
    <w:rsid w:val="0051661E"/>
    <w:rsid w:val="005173C3"/>
    <w:rsid w:val="00521170"/>
    <w:rsid w:val="00522B86"/>
    <w:rsid w:val="00522FA8"/>
    <w:rsid w:val="00524C64"/>
    <w:rsid w:val="00526C32"/>
    <w:rsid w:val="00532EEF"/>
    <w:rsid w:val="005332C5"/>
    <w:rsid w:val="00534C06"/>
    <w:rsid w:val="005357D5"/>
    <w:rsid w:val="00536382"/>
    <w:rsid w:val="00537274"/>
    <w:rsid w:val="00537A45"/>
    <w:rsid w:val="00537F06"/>
    <w:rsid w:val="00540035"/>
    <w:rsid w:val="00542ECD"/>
    <w:rsid w:val="00543D1C"/>
    <w:rsid w:val="00544625"/>
    <w:rsid w:val="00544EF1"/>
    <w:rsid w:val="00545362"/>
    <w:rsid w:val="005507D3"/>
    <w:rsid w:val="00551538"/>
    <w:rsid w:val="00551B77"/>
    <w:rsid w:val="00552B17"/>
    <w:rsid w:val="00553089"/>
    <w:rsid w:val="005553FB"/>
    <w:rsid w:val="00556077"/>
    <w:rsid w:val="005629AC"/>
    <w:rsid w:val="00562B98"/>
    <w:rsid w:val="00562DEA"/>
    <w:rsid w:val="00565FA3"/>
    <w:rsid w:val="00566BD5"/>
    <w:rsid w:val="005672EC"/>
    <w:rsid w:val="00570967"/>
    <w:rsid w:val="00570A2E"/>
    <w:rsid w:val="00570A7E"/>
    <w:rsid w:val="005718C8"/>
    <w:rsid w:val="0057301E"/>
    <w:rsid w:val="00574505"/>
    <w:rsid w:val="0057621D"/>
    <w:rsid w:val="00576A5B"/>
    <w:rsid w:val="00576BF6"/>
    <w:rsid w:val="00583640"/>
    <w:rsid w:val="0058613C"/>
    <w:rsid w:val="00587F75"/>
    <w:rsid w:val="005927C5"/>
    <w:rsid w:val="005930FA"/>
    <w:rsid w:val="00596A5B"/>
    <w:rsid w:val="0059758E"/>
    <w:rsid w:val="005A12EA"/>
    <w:rsid w:val="005A15F5"/>
    <w:rsid w:val="005A19D0"/>
    <w:rsid w:val="005A204F"/>
    <w:rsid w:val="005A3B39"/>
    <w:rsid w:val="005A4E6D"/>
    <w:rsid w:val="005A540D"/>
    <w:rsid w:val="005A5A7D"/>
    <w:rsid w:val="005A5E70"/>
    <w:rsid w:val="005A6AD7"/>
    <w:rsid w:val="005A7EB6"/>
    <w:rsid w:val="005B018F"/>
    <w:rsid w:val="005B0B22"/>
    <w:rsid w:val="005B4ADE"/>
    <w:rsid w:val="005B6CA1"/>
    <w:rsid w:val="005B6E7B"/>
    <w:rsid w:val="005B7D24"/>
    <w:rsid w:val="005C051B"/>
    <w:rsid w:val="005C2B31"/>
    <w:rsid w:val="005C3CF3"/>
    <w:rsid w:val="005C4413"/>
    <w:rsid w:val="005C51D7"/>
    <w:rsid w:val="005C625E"/>
    <w:rsid w:val="005D1B26"/>
    <w:rsid w:val="005D2096"/>
    <w:rsid w:val="005D55F0"/>
    <w:rsid w:val="005D5658"/>
    <w:rsid w:val="005D754B"/>
    <w:rsid w:val="005E2465"/>
    <w:rsid w:val="005E29E3"/>
    <w:rsid w:val="005E2BFB"/>
    <w:rsid w:val="005F38C2"/>
    <w:rsid w:val="006001BA"/>
    <w:rsid w:val="00604524"/>
    <w:rsid w:val="00604B88"/>
    <w:rsid w:val="00606928"/>
    <w:rsid w:val="00610167"/>
    <w:rsid w:val="00611D4C"/>
    <w:rsid w:val="00611D53"/>
    <w:rsid w:val="006145EE"/>
    <w:rsid w:val="006158F8"/>
    <w:rsid w:val="0062086B"/>
    <w:rsid w:val="00621E77"/>
    <w:rsid w:val="006241BF"/>
    <w:rsid w:val="00624FB3"/>
    <w:rsid w:val="00625353"/>
    <w:rsid w:val="0062633B"/>
    <w:rsid w:val="00627233"/>
    <w:rsid w:val="0062766D"/>
    <w:rsid w:val="00627DE8"/>
    <w:rsid w:val="0063017E"/>
    <w:rsid w:val="0063286F"/>
    <w:rsid w:val="006364EA"/>
    <w:rsid w:val="00640E91"/>
    <w:rsid w:val="00641647"/>
    <w:rsid w:val="00643CB7"/>
    <w:rsid w:val="00644F6D"/>
    <w:rsid w:val="00646D46"/>
    <w:rsid w:val="006526A7"/>
    <w:rsid w:val="00652D77"/>
    <w:rsid w:val="00654F53"/>
    <w:rsid w:val="00657F2C"/>
    <w:rsid w:val="0066480A"/>
    <w:rsid w:val="00664855"/>
    <w:rsid w:val="006657E0"/>
    <w:rsid w:val="006668B0"/>
    <w:rsid w:val="00670265"/>
    <w:rsid w:val="00671132"/>
    <w:rsid w:val="00671DB4"/>
    <w:rsid w:val="00673184"/>
    <w:rsid w:val="006742E3"/>
    <w:rsid w:val="006746D7"/>
    <w:rsid w:val="00674897"/>
    <w:rsid w:val="00675BA0"/>
    <w:rsid w:val="00677E81"/>
    <w:rsid w:val="00680CF6"/>
    <w:rsid w:val="00683145"/>
    <w:rsid w:val="00683796"/>
    <w:rsid w:val="00684000"/>
    <w:rsid w:val="006862B3"/>
    <w:rsid w:val="00686464"/>
    <w:rsid w:val="006871BB"/>
    <w:rsid w:val="00690B2A"/>
    <w:rsid w:val="00692496"/>
    <w:rsid w:val="00692A51"/>
    <w:rsid w:val="00695ACF"/>
    <w:rsid w:val="006A027F"/>
    <w:rsid w:val="006A12FD"/>
    <w:rsid w:val="006A1450"/>
    <w:rsid w:val="006A35BF"/>
    <w:rsid w:val="006A4B94"/>
    <w:rsid w:val="006A59FF"/>
    <w:rsid w:val="006A5DD4"/>
    <w:rsid w:val="006A5E9A"/>
    <w:rsid w:val="006A62E2"/>
    <w:rsid w:val="006A7270"/>
    <w:rsid w:val="006A78BA"/>
    <w:rsid w:val="006A7D62"/>
    <w:rsid w:val="006A7E57"/>
    <w:rsid w:val="006B12DE"/>
    <w:rsid w:val="006B5221"/>
    <w:rsid w:val="006B5DD6"/>
    <w:rsid w:val="006B60CD"/>
    <w:rsid w:val="006B6880"/>
    <w:rsid w:val="006B71A6"/>
    <w:rsid w:val="006C09ED"/>
    <w:rsid w:val="006C0ABD"/>
    <w:rsid w:val="006C0FD7"/>
    <w:rsid w:val="006C2421"/>
    <w:rsid w:val="006C2486"/>
    <w:rsid w:val="006C3333"/>
    <w:rsid w:val="006C3745"/>
    <w:rsid w:val="006C6802"/>
    <w:rsid w:val="006C6DEE"/>
    <w:rsid w:val="006C7498"/>
    <w:rsid w:val="006D14E8"/>
    <w:rsid w:val="006D3B52"/>
    <w:rsid w:val="006D4E94"/>
    <w:rsid w:val="006D5BCB"/>
    <w:rsid w:val="006D6403"/>
    <w:rsid w:val="006D6467"/>
    <w:rsid w:val="006D7706"/>
    <w:rsid w:val="006E0A4D"/>
    <w:rsid w:val="006E0C7E"/>
    <w:rsid w:val="006E1DBE"/>
    <w:rsid w:val="006E2429"/>
    <w:rsid w:val="006F0D33"/>
    <w:rsid w:val="006F19A8"/>
    <w:rsid w:val="006F1A0F"/>
    <w:rsid w:val="006F1AAD"/>
    <w:rsid w:val="006F1D15"/>
    <w:rsid w:val="006F35BB"/>
    <w:rsid w:val="006F4B4B"/>
    <w:rsid w:val="006F4BE7"/>
    <w:rsid w:val="006F5724"/>
    <w:rsid w:val="006F60E6"/>
    <w:rsid w:val="006F6F5F"/>
    <w:rsid w:val="006F7917"/>
    <w:rsid w:val="0070010F"/>
    <w:rsid w:val="00700975"/>
    <w:rsid w:val="00701938"/>
    <w:rsid w:val="00702192"/>
    <w:rsid w:val="0070279D"/>
    <w:rsid w:val="0070398D"/>
    <w:rsid w:val="00703A00"/>
    <w:rsid w:val="00703BA7"/>
    <w:rsid w:val="0070453D"/>
    <w:rsid w:val="0070597E"/>
    <w:rsid w:val="007066AF"/>
    <w:rsid w:val="00710522"/>
    <w:rsid w:val="007111BD"/>
    <w:rsid w:val="0071191A"/>
    <w:rsid w:val="00712027"/>
    <w:rsid w:val="007123A9"/>
    <w:rsid w:val="00712B11"/>
    <w:rsid w:val="007131CE"/>
    <w:rsid w:val="00714D01"/>
    <w:rsid w:val="00714DB2"/>
    <w:rsid w:val="007155BE"/>
    <w:rsid w:val="00716743"/>
    <w:rsid w:val="0072007B"/>
    <w:rsid w:val="00720B5E"/>
    <w:rsid w:val="007213F8"/>
    <w:rsid w:val="0072451D"/>
    <w:rsid w:val="00727650"/>
    <w:rsid w:val="00727896"/>
    <w:rsid w:val="007279E3"/>
    <w:rsid w:val="00730CFD"/>
    <w:rsid w:val="00733938"/>
    <w:rsid w:val="00740E1E"/>
    <w:rsid w:val="007412F1"/>
    <w:rsid w:val="00741E4E"/>
    <w:rsid w:val="00742CA6"/>
    <w:rsid w:val="00746039"/>
    <w:rsid w:val="00746723"/>
    <w:rsid w:val="00746BC1"/>
    <w:rsid w:val="00746EC8"/>
    <w:rsid w:val="00747BE4"/>
    <w:rsid w:val="00750FD7"/>
    <w:rsid w:val="00752002"/>
    <w:rsid w:val="00753017"/>
    <w:rsid w:val="007542E1"/>
    <w:rsid w:val="00755E6D"/>
    <w:rsid w:val="007565EB"/>
    <w:rsid w:val="007608B1"/>
    <w:rsid w:val="007610ED"/>
    <w:rsid w:val="00761680"/>
    <w:rsid w:val="00765746"/>
    <w:rsid w:val="007658F8"/>
    <w:rsid w:val="00770089"/>
    <w:rsid w:val="00771B61"/>
    <w:rsid w:val="007729E6"/>
    <w:rsid w:val="00774142"/>
    <w:rsid w:val="00776231"/>
    <w:rsid w:val="0077777F"/>
    <w:rsid w:val="00777DBC"/>
    <w:rsid w:val="00783069"/>
    <w:rsid w:val="007916E9"/>
    <w:rsid w:val="00793822"/>
    <w:rsid w:val="007947F9"/>
    <w:rsid w:val="007A02E5"/>
    <w:rsid w:val="007A5CDF"/>
    <w:rsid w:val="007A738C"/>
    <w:rsid w:val="007A7628"/>
    <w:rsid w:val="007B0BBF"/>
    <w:rsid w:val="007B293F"/>
    <w:rsid w:val="007B48DE"/>
    <w:rsid w:val="007B5802"/>
    <w:rsid w:val="007B65B4"/>
    <w:rsid w:val="007C03E6"/>
    <w:rsid w:val="007C0914"/>
    <w:rsid w:val="007C3F09"/>
    <w:rsid w:val="007C4370"/>
    <w:rsid w:val="007C51CF"/>
    <w:rsid w:val="007C677D"/>
    <w:rsid w:val="007D7375"/>
    <w:rsid w:val="007D7F01"/>
    <w:rsid w:val="007E042D"/>
    <w:rsid w:val="007E04E7"/>
    <w:rsid w:val="007E09A6"/>
    <w:rsid w:val="007E2AEC"/>
    <w:rsid w:val="007E3C15"/>
    <w:rsid w:val="007E49B6"/>
    <w:rsid w:val="007E69F7"/>
    <w:rsid w:val="007F0718"/>
    <w:rsid w:val="007F128C"/>
    <w:rsid w:val="007F12A3"/>
    <w:rsid w:val="007F21A5"/>
    <w:rsid w:val="007F4A32"/>
    <w:rsid w:val="008025A5"/>
    <w:rsid w:val="00802AF3"/>
    <w:rsid w:val="00804EA3"/>
    <w:rsid w:val="00805021"/>
    <w:rsid w:val="008100E8"/>
    <w:rsid w:val="008121F0"/>
    <w:rsid w:val="008138D3"/>
    <w:rsid w:val="00814074"/>
    <w:rsid w:val="00822544"/>
    <w:rsid w:val="008229CD"/>
    <w:rsid w:val="00822E0B"/>
    <w:rsid w:val="00824767"/>
    <w:rsid w:val="0082785C"/>
    <w:rsid w:val="00830FD0"/>
    <w:rsid w:val="008317BE"/>
    <w:rsid w:val="00837C7B"/>
    <w:rsid w:val="00842C45"/>
    <w:rsid w:val="00844DEF"/>
    <w:rsid w:val="008472C2"/>
    <w:rsid w:val="00850832"/>
    <w:rsid w:val="00853434"/>
    <w:rsid w:val="00854902"/>
    <w:rsid w:val="00854AD3"/>
    <w:rsid w:val="00856540"/>
    <w:rsid w:val="0085659A"/>
    <w:rsid w:val="0086306E"/>
    <w:rsid w:val="008630B2"/>
    <w:rsid w:val="008641F5"/>
    <w:rsid w:val="00865D0D"/>
    <w:rsid w:val="0087075C"/>
    <w:rsid w:val="00870F8C"/>
    <w:rsid w:val="0087164A"/>
    <w:rsid w:val="00872884"/>
    <w:rsid w:val="00874A44"/>
    <w:rsid w:val="00876081"/>
    <w:rsid w:val="00876397"/>
    <w:rsid w:val="0087780B"/>
    <w:rsid w:val="00877BC1"/>
    <w:rsid w:val="00880EE8"/>
    <w:rsid w:val="00883915"/>
    <w:rsid w:val="008840FF"/>
    <w:rsid w:val="00884A89"/>
    <w:rsid w:val="00885C69"/>
    <w:rsid w:val="00886082"/>
    <w:rsid w:val="0088632B"/>
    <w:rsid w:val="00886D33"/>
    <w:rsid w:val="00886E8B"/>
    <w:rsid w:val="00887A12"/>
    <w:rsid w:val="00890DD6"/>
    <w:rsid w:val="008912FD"/>
    <w:rsid w:val="00891D54"/>
    <w:rsid w:val="00892C4B"/>
    <w:rsid w:val="008936E0"/>
    <w:rsid w:val="00893E5D"/>
    <w:rsid w:val="00894353"/>
    <w:rsid w:val="0089488F"/>
    <w:rsid w:val="00894F81"/>
    <w:rsid w:val="00895217"/>
    <w:rsid w:val="00895CA9"/>
    <w:rsid w:val="008B05D8"/>
    <w:rsid w:val="008B18D9"/>
    <w:rsid w:val="008B2E55"/>
    <w:rsid w:val="008B3D51"/>
    <w:rsid w:val="008B609B"/>
    <w:rsid w:val="008B6E49"/>
    <w:rsid w:val="008B72D0"/>
    <w:rsid w:val="008B7B89"/>
    <w:rsid w:val="008C1453"/>
    <w:rsid w:val="008C2032"/>
    <w:rsid w:val="008C2959"/>
    <w:rsid w:val="008C2B0C"/>
    <w:rsid w:val="008C4CF5"/>
    <w:rsid w:val="008C4F55"/>
    <w:rsid w:val="008C56BE"/>
    <w:rsid w:val="008C7190"/>
    <w:rsid w:val="008D148E"/>
    <w:rsid w:val="008D4C71"/>
    <w:rsid w:val="008D55D4"/>
    <w:rsid w:val="008D59E2"/>
    <w:rsid w:val="008D7092"/>
    <w:rsid w:val="008D73F1"/>
    <w:rsid w:val="008E02DE"/>
    <w:rsid w:val="008E0ABE"/>
    <w:rsid w:val="008E170B"/>
    <w:rsid w:val="008F01C1"/>
    <w:rsid w:val="008F2441"/>
    <w:rsid w:val="008F3FCF"/>
    <w:rsid w:val="008F51FD"/>
    <w:rsid w:val="0090087E"/>
    <w:rsid w:val="0090108B"/>
    <w:rsid w:val="00901FE2"/>
    <w:rsid w:val="00903231"/>
    <w:rsid w:val="0090780A"/>
    <w:rsid w:val="0091037D"/>
    <w:rsid w:val="00910F31"/>
    <w:rsid w:val="00911AB3"/>
    <w:rsid w:val="009129F4"/>
    <w:rsid w:val="00913E6F"/>
    <w:rsid w:val="00915603"/>
    <w:rsid w:val="00915EA3"/>
    <w:rsid w:val="0092135B"/>
    <w:rsid w:val="0092136F"/>
    <w:rsid w:val="00924ECB"/>
    <w:rsid w:val="009258BB"/>
    <w:rsid w:val="00925FEA"/>
    <w:rsid w:val="009301EA"/>
    <w:rsid w:val="00930D28"/>
    <w:rsid w:val="00932053"/>
    <w:rsid w:val="0093307D"/>
    <w:rsid w:val="00934F4F"/>
    <w:rsid w:val="009355B1"/>
    <w:rsid w:val="00935C8D"/>
    <w:rsid w:val="00940098"/>
    <w:rsid w:val="0094075B"/>
    <w:rsid w:val="009425D0"/>
    <w:rsid w:val="00944A0A"/>
    <w:rsid w:val="00946D4E"/>
    <w:rsid w:val="00946E6C"/>
    <w:rsid w:val="00947781"/>
    <w:rsid w:val="009503DC"/>
    <w:rsid w:val="00951316"/>
    <w:rsid w:val="009529D3"/>
    <w:rsid w:val="009548EC"/>
    <w:rsid w:val="009569E5"/>
    <w:rsid w:val="00957A86"/>
    <w:rsid w:val="009601C6"/>
    <w:rsid w:val="00960579"/>
    <w:rsid w:val="009619A0"/>
    <w:rsid w:val="009631F9"/>
    <w:rsid w:val="0097187B"/>
    <w:rsid w:val="00973293"/>
    <w:rsid w:val="0097346D"/>
    <w:rsid w:val="0097691D"/>
    <w:rsid w:val="00981DD1"/>
    <w:rsid w:val="00982E30"/>
    <w:rsid w:val="009838C4"/>
    <w:rsid w:val="00983C3F"/>
    <w:rsid w:val="0098577B"/>
    <w:rsid w:val="00991470"/>
    <w:rsid w:val="00991879"/>
    <w:rsid w:val="009941E4"/>
    <w:rsid w:val="00995D6F"/>
    <w:rsid w:val="009965E1"/>
    <w:rsid w:val="009A1D10"/>
    <w:rsid w:val="009A2FCA"/>
    <w:rsid w:val="009A4E16"/>
    <w:rsid w:val="009A525D"/>
    <w:rsid w:val="009A64D7"/>
    <w:rsid w:val="009B25DE"/>
    <w:rsid w:val="009B4343"/>
    <w:rsid w:val="009B5951"/>
    <w:rsid w:val="009B5BEA"/>
    <w:rsid w:val="009C0185"/>
    <w:rsid w:val="009C018E"/>
    <w:rsid w:val="009C32E9"/>
    <w:rsid w:val="009C3332"/>
    <w:rsid w:val="009D05C5"/>
    <w:rsid w:val="009D08B7"/>
    <w:rsid w:val="009D0BF4"/>
    <w:rsid w:val="009D158B"/>
    <w:rsid w:val="009D2699"/>
    <w:rsid w:val="009D2778"/>
    <w:rsid w:val="009D4DBF"/>
    <w:rsid w:val="009D6378"/>
    <w:rsid w:val="009D65FE"/>
    <w:rsid w:val="009D7704"/>
    <w:rsid w:val="009E0AD8"/>
    <w:rsid w:val="009E12DB"/>
    <w:rsid w:val="009E3068"/>
    <w:rsid w:val="009E3827"/>
    <w:rsid w:val="009E417F"/>
    <w:rsid w:val="009E428C"/>
    <w:rsid w:val="009E4D18"/>
    <w:rsid w:val="009E671F"/>
    <w:rsid w:val="009F24AA"/>
    <w:rsid w:val="009F38F6"/>
    <w:rsid w:val="009F40A5"/>
    <w:rsid w:val="009F7AD8"/>
    <w:rsid w:val="00A000D2"/>
    <w:rsid w:val="00A0125F"/>
    <w:rsid w:val="00A02131"/>
    <w:rsid w:val="00A02671"/>
    <w:rsid w:val="00A02A1F"/>
    <w:rsid w:val="00A03614"/>
    <w:rsid w:val="00A041F0"/>
    <w:rsid w:val="00A1019A"/>
    <w:rsid w:val="00A10EAB"/>
    <w:rsid w:val="00A11F88"/>
    <w:rsid w:val="00A14987"/>
    <w:rsid w:val="00A17B09"/>
    <w:rsid w:val="00A17D37"/>
    <w:rsid w:val="00A203E5"/>
    <w:rsid w:val="00A25314"/>
    <w:rsid w:val="00A2768E"/>
    <w:rsid w:val="00A31F93"/>
    <w:rsid w:val="00A323B6"/>
    <w:rsid w:val="00A3465D"/>
    <w:rsid w:val="00A34863"/>
    <w:rsid w:val="00A40724"/>
    <w:rsid w:val="00A41556"/>
    <w:rsid w:val="00A41E39"/>
    <w:rsid w:val="00A42E30"/>
    <w:rsid w:val="00A457F6"/>
    <w:rsid w:val="00A46A04"/>
    <w:rsid w:val="00A471C1"/>
    <w:rsid w:val="00A51166"/>
    <w:rsid w:val="00A52D96"/>
    <w:rsid w:val="00A5321F"/>
    <w:rsid w:val="00A5733A"/>
    <w:rsid w:val="00A57D80"/>
    <w:rsid w:val="00A60760"/>
    <w:rsid w:val="00A650DF"/>
    <w:rsid w:val="00A65BAF"/>
    <w:rsid w:val="00A67332"/>
    <w:rsid w:val="00A67569"/>
    <w:rsid w:val="00A70866"/>
    <w:rsid w:val="00A71671"/>
    <w:rsid w:val="00A71DF6"/>
    <w:rsid w:val="00A72B6F"/>
    <w:rsid w:val="00A74B8B"/>
    <w:rsid w:val="00A75D7B"/>
    <w:rsid w:val="00A7724B"/>
    <w:rsid w:val="00A80ECE"/>
    <w:rsid w:val="00A82804"/>
    <w:rsid w:val="00A86E90"/>
    <w:rsid w:val="00A90F10"/>
    <w:rsid w:val="00A91201"/>
    <w:rsid w:val="00A9698E"/>
    <w:rsid w:val="00AA2436"/>
    <w:rsid w:val="00AA369B"/>
    <w:rsid w:val="00AA38D7"/>
    <w:rsid w:val="00AA4BAC"/>
    <w:rsid w:val="00AA5BD5"/>
    <w:rsid w:val="00AA6497"/>
    <w:rsid w:val="00AA76A8"/>
    <w:rsid w:val="00AA7AE6"/>
    <w:rsid w:val="00AB1E3B"/>
    <w:rsid w:val="00AB3004"/>
    <w:rsid w:val="00AB309C"/>
    <w:rsid w:val="00AB34F1"/>
    <w:rsid w:val="00AB3AA0"/>
    <w:rsid w:val="00AB6959"/>
    <w:rsid w:val="00AB6B5A"/>
    <w:rsid w:val="00AB777F"/>
    <w:rsid w:val="00AC0FAC"/>
    <w:rsid w:val="00AC2BFE"/>
    <w:rsid w:val="00AC2C13"/>
    <w:rsid w:val="00AC5FBE"/>
    <w:rsid w:val="00AC6056"/>
    <w:rsid w:val="00AD1184"/>
    <w:rsid w:val="00AD1F78"/>
    <w:rsid w:val="00AD288F"/>
    <w:rsid w:val="00AD637D"/>
    <w:rsid w:val="00AE0D31"/>
    <w:rsid w:val="00AE109C"/>
    <w:rsid w:val="00AE13E0"/>
    <w:rsid w:val="00AE19B8"/>
    <w:rsid w:val="00AE2630"/>
    <w:rsid w:val="00AE79A7"/>
    <w:rsid w:val="00AF1288"/>
    <w:rsid w:val="00AF24FA"/>
    <w:rsid w:val="00AF3232"/>
    <w:rsid w:val="00AF3277"/>
    <w:rsid w:val="00AF4B81"/>
    <w:rsid w:val="00AF5759"/>
    <w:rsid w:val="00B0194B"/>
    <w:rsid w:val="00B025D6"/>
    <w:rsid w:val="00B1006F"/>
    <w:rsid w:val="00B11CEE"/>
    <w:rsid w:val="00B1333C"/>
    <w:rsid w:val="00B1373F"/>
    <w:rsid w:val="00B23F4C"/>
    <w:rsid w:val="00B24707"/>
    <w:rsid w:val="00B31BD0"/>
    <w:rsid w:val="00B32265"/>
    <w:rsid w:val="00B33136"/>
    <w:rsid w:val="00B3470F"/>
    <w:rsid w:val="00B34D8C"/>
    <w:rsid w:val="00B35C72"/>
    <w:rsid w:val="00B4113A"/>
    <w:rsid w:val="00B449EA"/>
    <w:rsid w:val="00B44E6C"/>
    <w:rsid w:val="00B46584"/>
    <w:rsid w:val="00B520DE"/>
    <w:rsid w:val="00B529EA"/>
    <w:rsid w:val="00B52FD4"/>
    <w:rsid w:val="00B5691E"/>
    <w:rsid w:val="00B579CD"/>
    <w:rsid w:val="00B60491"/>
    <w:rsid w:val="00B60B8C"/>
    <w:rsid w:val="00B64024"/>
    <w:rsid w:val="00B66EE5"/>
    <w:rsid w:val="00B67E38"/>
    <w:rsid w:val="00B73202"/>
    <w:rsid w:val="00B73A75"/>
    <w:rsid w:val="00B746A2"/>
    <w:rsid w:val="00B761B4"/>
    <w:rsid w:val="00B81B22"/>
    <w:rsid w:val="00B8227E"/>
    <w:rsid w:val="00B82FFF"/>
    <w:rsid w:val="00B83F82"/>
    <w:rsid w:val="00B8457F"/>
    <w:rsid w:val="00B90B63"/>
    <w:rsid w:val="00B91560"/>
    <w:rsid w:val="00B923F3"/>
    <w:rsid w:val="00B93353"/>
    <w:rsid w:val="00B9524A"/>
    <w:rsid w:val="00B962D9"/>
    <w:rsid w:val="00BA159D"/>
    <w:rsid w:val="00BA6AA6"/>
    <w:rsid w:val="00BB1488"/>
    <w:rsid w:val="00BB3147"/>
    <w:rsid w:val="00BB5D46"/>
    <w:rsid w:val="00BB6A17"/>
    <w:rsid w:val="00BC2653"/>
    <w:rsid w:val="00BC2DE7"/>
    <w:rsid w:val="00BC336E"/>
    <w:rsid w:val="00BC4057"/>
    <w:rsid w:val="00BC4677"/>
    <w:rsid w:val="00BC496F"/>
    <w:rsid w:val="00BC517E"/>
    <w:rsid w:val="00BC6031"/>
    <w:rsid w:val="00BD12FA"/>
    <w:rsid w:val="00BD1B84"/>
    <w:rsid w:val="00BD7AB3"/>
    <w:rsid w:val="00BD7F8D"/>
    <w:rsid w:val="00BE18BD"/>
    <w:rsid w:val="00BE7DAA"/>
    <w:rsid w:val="00BF0ABA"/>
    <w:rsid w:val="00BF1EE4"/>
    <w:rsid w:val="00BF68CA"/>
    <w:rsid w:val="00BF70B2"/>
    <w:rsid w:val="00C00C45"/>
    <w:rsid w:val="00C00D1E"/>
    <w:rsid w:val="00C01B3A"/>
    <w:rsid w:val="00C01EDD"/>
    <w:rsid w:val="00C02B47"/>
    <w:rsid w:val="00C02D3C"/>
    <w:rsid w:val="00C05065"/>
    <w:rsid w:val="00C10D49"/>
    <w:rsid w:val="00C1343B"/>
    <w:rsid w:val="00C159A3"/>
    <w:rsid w:val="00C2022B"/>
    <w:rsid w:val="00C206AA"/>
    <w:rsid w:val="00C23EE2"/>
    <w:rsid w:val="00C25002"/>
    <w:rsid w:val="00C277DD"/>
    <w:rsid w:val="00C31957"/>
    <w:rsid w:val="00C31CBC"/>
    <w:rsid w:val="00C326F1"/>
    <w:rsid w:val="00C37AE0"/>
    <w:rsid w:val="00C413B4"/>
    <w:rsid w:val="00C42102"/>
    <w:rsid w:val="00C444B5"/>
    <w:rsid w:val="00C44728"/>
    <w:rsid w:val="00C44A39"/>
    <w:rsid w:val="00C50CC1"/>
    <w:rsid w:val="00C50DCA"/>
    <w:rsid w:val="00C51D4C"/>
    <w:rsid w:val="00C52327"/>
    <w:rsid w:val="00C529B2"/>
    <w:rsid w:val="00C534DD"/>
    <w:rsid w:val="00C53F12"/>
    <w:rsid w:val="00C551DD"/>
    <w:rsid w:val="00C56B88"/>
    <w:rsid w:val="00C644C3"/>
    <w:rsid w:val="00C66FDD"/>
    <w:rsid w:val="00C73E72"/>
    <w:rsid w:val="00C76490"/>
    <w:rsid w:val="00C77390"/>
    <w:rsid w:val="00C803AD"/>
    <w:rsid w:val="00C822D4"/>
    <w:rsid w:val="00C82D44"/>
    <w:rsid w:val="00C84C53"/>
    <w:rsid w:val="00C866B6"/>
    <w:rsid w:val="00C878DB"/>
    <w:rsid w:val="00C87960"/>
    <w:rsid w:val="00C87C8E"/>
    <w:rsid w:val="00C9689C"/>
    <w:rsid w:val="00CA0F9F"/>
    <w:rsid w:val="00CA205D"/>
    <w:rsid w:val="00CA4A49"/>
    <w:rsid w:val="00CA59C7"/>
    <w:rsid w:val="00CA69AA"/>
    <w:rsid w:val="00CB131A"/>
    <w:rsid w:val="00CB5063"/>
    <w:rsid w:val="00CB6A54"/>
    <w:rsid w:val="00CB7D40"/>
    <w:rsid w:val="00CC081F"/>
    <w:rsid w:val="00CC08DB"/>
    <w:rsid w:val="00CC161B"/>
    <w:rsid w:val="00CC1E12"/>
    <w:rsid w:val="00CC212B"/>
    <w:rsid w:val="00CC3472"/>
    <w:rsid w:val="00CC6C43"/>
    <w:rsid w:val="00CD09EF"/>
    <w:rsid w:val="00CD0E5D"/>
    <w:rsid w:val="00CD127C"/>
    <w:rsid w:val="00CD1B9A"/>
    <w:rsid w:val="00CD5885"/>
    <w:rsid w:val="00CD5941"/>
    <w:rsid w:val="00CD76BA"/>
    <w:rsid w:val="00CD7D85"/>
    <w:rsid w:val="00CE06B4"/>
    <w:rsid w:val="00CE0E27"/>
    <w:rsid w:val="00CE2E03"/>
    <w:rsid w:val="00CF028D"/>
    <w:rsid w:val="00CF5C10"/>
    <w:rsid w:val="00CF66F0"/>
    <w:rsid w:val="00CF69EF"/>
    <w:rsid w:val="00D01034"/>
    <w:rsid w:val="00D0498D"/>
    <w:rsid w:val="00D05325"/>
    <w:rsid w:val="00D05583"/>
    <w:rsid w:val="00D05838"/>
    <w:rsid w:val="00D06873"/>
    <w:rsid w:val="00D10BB5"/>
    <w:rsid w:val="00D10F7E"/>
    <w:rsid w:val="00D11897"/>
    <w:rsid w:val="00D12D4C"/>
    <w:rsid w:val="00D148D5"/>
    <w:rsid w:val="00D150B8"/>
    <w:rsid w:val="00D158B2"/>
    <w:rsid w:val="00D17B46"/>
    <w:rsid w:val="00D20A92"/>
    <w:rsid w:val="00D20AE4"/>
    <w:rsid w:val="00D2119E"/>
    <w:rsid w:val="00D2166A"/>
    <w:rsid w:val="00D22B9F"/>
    <w:rsid w:val="00D2359A"/>
    <w:rsid w:val="00D24B32"/>
    <w:rsid w:val="00D25CE6"/>
    <w:rsid w:val="00D304E5"/>
    <w:rsid w:val="00D33178"/>
    <w:rsid w:val="00D33526"/>
    <w:rsid w:val="00D33738"/>
    <w:rsid w:val="00D35A09"/>
    <w:rsid w:val="00D374EA"/>
    <w:rsid w:val="00D40912"/>
    <w:rsid w:val="00D40A2C"/>
    <w:rsid w:val="00D42185"/>
    <w:rsid w:val="00D461BE"/>
    <w:rsid w:val="00D4624B"/>
    <w:rsid w:val="00D464E8"/>
    <w:rsid w:val="00D46616"/>
    <w:rsid w:val="00D46BF9"/>
    <w:rsid w:val="00D47209"/>
    <w:rsid w:val="00D502D9"/>
    <w:rsid w:val="00D507E0"/>
    <w:rsid w:val="00D55286"/>
    <w:rsid w:val="00D55329"/>
    <w:rsid w:val="00D56F37"/>
    <w:rsid w:val="00D5748E"/>
    <w:rsid w:val="00D60C66"/>
    <w:rsid w:val="00D62355"/>
    <w:rsid w:val="00D62456"/>
    <w:rsid w:val="00D62AB9"/>
    <w:rsid w:val="00D827E1"/>
    <w:rsid w:val="00D82A3D"/>
    <w:rsid w:val="00D855B3"/>
    <w:rsid w:val="00D9014B"/>
    <w:rsid w:val="00D91BD0"/>
    <w:rsid w:val="00D9370B"/>
    <w:rsid w:val="00D941B5"/>
    <w:rsid w:val="00D95291"/>
    <w:rsid w:val="00D9557A"/>
    <w:rsid w:val="00D9797A"/>
    <w:rsid w:val="00DA02D8"/>
    <w:rsid w:val="00DA1646"/>
    <w:rsid w:val="00DA56A1"/>
    <w:rsid w:val="00DB1E71"/>
    <w:rsid w:val="00DB208B"/>
    <w:rsid w:val="00DB6FDC"/>
    <w:rsid w:val="00DB7E2D"/>
    <w:rsid w:val="00DC4BA9"/>
    <w:rsid w:val="00DC5E7E"/>
    <w:rsid w:val="00DC631F"/>
    <w:rsid w:val="00DC7AFD"/>
    <w:rsid w:val="00DD1472"/>
    <w:rsid w:val="00DD22A6"/>
    <w:rsid w:val="00DD34E7"/>
    <w:rsid w:val="00DD7C48"/>
    <w:rsid w:val="00DE2429"/>
    <w:rsid w:val="00DE2BFE"/>
    <w:rsid w:val="00DF097D"/>
    <w:rsid w:val="00DF0D62"/>
    <w:rsid w:val="00DF1559"/>
    <w:rsid w:val="00DF23EB"/>
    <w:rsid w:val="00DF3874"/>
    <w:rsid w:val="00DF4522"/>
    <w:rsid w:val="00DF711E"/>
    <w:rsid w:val="00E02434"/>
    <w:rsid w:val="00E04A90"/>
    <w:rsid w:val="00E113C4"/>
    <w:rsid w:val="00E1146A"/>
    <w:rsid w:val="00E114D2"/>
    <w:rsid w:val="00E12544"/>
    <w:rsid w:val="00E144AA"/>
    <w:rsid w:val="00E163BD"/>
    <w:rsid w:val="00E20E45"/>
    <w:rsid w:val="00E20F4B"/>
    <w:rsid w:val="00E2132B"/>
    <w:rsid w:val="00E2266C"/>
    <w:rsid w:val="00E22CCD"/>
    <w:rsid w:val="00E232BF"/>
    <w:rsid w:val="00E2411D"/>
    <w:rsid w:val="00E248F3"/>
    <w:rsid w:val="00E26408"/>
    <w:rsid w:val="00E318B0"/>
    <w:rsid w:val="00E31B34"/>
    <w:rsid w:val="00E35F1C"/>
    <w:rsid w:val="00E40E6A"/>
    <w:rsid w:val="00E41277"/>
    <w:rsid w:val="00E4133A"/>
    <w:rsid w:val="00E4209B"/>
    <w:rsid w:val="00E50A19"/>
    <w:rsid w:val="00E50E0C"/>
    <w:rsid w:val="00E521D7"/>
    <w:rsid w:val="00E52F93"/>
    <w:rsid w:val="00E55380"/>
    <w:rsid w:val="00E55833"/>
    <w:rsid w:val="00E566D6"/>
    <w:rsid w:val="00E61074"/>
    <w:rsid w:val="00E63442"/>
    <w:rsid w:val="00E6455C"/>
    <w:rsid w:val="00E6794A"/>
    <w:rsid w:val="00E67C86"/>
    <w:rsid w:val="00E763DB"/>
    <w:rsid w:val="00E82636"/>
    <w:rsid w:val="00E82FE5"/>
    <w:rsid w:val="00E83DE8"/>
    <w:rsid w:val="00E8492F"/>
    <w:rsid w:val="00E84DB2"/>
    <w:rsid w:val="00E855F8"/>
    <w:rsid w:val="00E85E74"/>
    <w:rsid w:val="00E85F8A"/>
    <w:rsid w:val="00E864F5"/>
    <w:rsid w:val="00E94679"/>
    <w:rsid w:val="00E97368"/>
    <w:rsid w:val="00E97AAF"/>
    <w:rsid w:val="00EA5F01"/>
    <w:rsid w:val="00EA650F"/>
    <w:rsid w:val="00EB1118"/>
    <w:rsid w:val="00EB2433"/>
    <w:rsid w:val="00EB24FE"/>
    <w:rsid w:val="00EB76CA"/>
    <w:rsid w:val="00EC11DE"/>
    <w:rsid w:val="00EC42C4"/>
    <w:rsid w:val="00EC435A"/>
    <w:rsid w:val="00EC74DE"/>
    <w:rsid w:val="00ED0568"/>
    <w:rsid w:val="00ED0A44"/>
    <w:rsid w:val="00ED3B74"/>
    <w:rsid w:val="00ED3E0D"/>
    <w:rsid w:val="00ED658A"/>
    <w:rsid w:val="00ED6A36"/>
    <w:rsid w:val="00EE0963"/>
    <w:rsid w:val="00EE1429"/>
    <w:rsid w:val="00EE1E53"/>
    <w:rsid w:val="00EE46D9"/>
    <w:rsid w:val="00EE4A66"/>
    <w:rsid w:val="00EF0B93"/>
    <w:rsid w:val="00EF365C"/>
    <w:rsid w:val="00EF64EF"/>
    <w:rsid w:val="00EF7653"/>
    <w:rsid w:val="00F01DB8"/>
    <w:rsid w:val="00F0273E"/>
    <w:rsid w:val="00F02E53"/>
    <w:rsid w:val="00F04EDB"/>
    <w:rsid w:val="00F06941"/>
    <w:rsid w:val="00F07AF0"/>
    <w:rsid w:val="00F10302"/>
    <w:rsid w:val="00F10543"/>
    <w:rsid w:val="00F10EC4"/>
    <w:rsid w:val="00F10F4A"/>
    <w:rsid w:val="00F113CD"/>
    <w:rsid w:val="00F128AC"/>
    <w:rsid w:val="00F2356C"/>
    <w:rsid w:val="00F2409D"/>
    <w:rsid w:val="00F244FD"/>
    <w:rsid w:val="00F26A8D"/>
    <w:rsid w:val="00F2728A"/>
    <w:rsid w:val="00F273F0"/>
    <w:rsid w:val="00F3120B"/>
    <w:rsid w:val="00F31DBC"/>
    <w:rsid w:val="00F32F03"/>
    <w:rsid w:val="00F33B8D"/>
    <w:rsid w:val="00F34BE1"/>
    <w:rsid w:val="00F409D4"/>
    <w:rsid w:val="00F41058"/>
    <w:rsid w:val="00F41B21"/>
    <w:rsid w:val="00F431A0"/>
    <w:rsid w:val="00F43722"/>
    <w:rsid w:val="00F437E9"/>
    <w:rsid w:val="00F4518B"/>
    <w:rsid w:val="00F459B8"/>
    <w:rsid w:val="00F45B0B"/>
    <w:rsid w:val="00F47E03"/>
    <w:rsid w:val="00F57EFF"/>
    <w:rsid w:val="00F602A5"/>
    <w:rsid w:val="00F60F14"/>
    <w:rsid w:val="00F614BD"/>
    <w:rsid w:val="00F654AE"/>
    <w:rsid w:val="00F65AD7"/>
    <w:rsid w:val="00F65BAA"/>
    <w:rsid w:val="00F701A8"/>
    <w:rsid w:val="00F72E05"/>
    <w:rsid w:val="00F738FC"/>
    <w:rsid w:val="00F73A8E"/>
    <w:rsid w:val="00F76D2C"/>
    <w:rsid w:val="00F77B37"/>
    <w:rsid w:val="00F81A43"/>
    <w:rsid w:val="00F81AB0"/>
    <w:rsid w:val="00F81B07"/>
    <w:rsid w:val="00F847C8"/>
    <w:rsid w:val="00F87710"/>
    <w:rsid w:val="00F90EB0"/>
    <w:rsid w:val="00F9188B"/>
    <w:rsid w:val="00F9433A"/>
    <w:rsid w:val="00F96128"/>
    <w:rsid w:val="00F9766F"/>
    <w:rsid w:val="00FA0866"/>
    <w:rsid w:val="00FA32E4"/>
    <w:rsid w:val="00FA636D"/>
    <w:rsid w:val="00FA6585"/>
    <w:rsid w:val="00FA72F0"/>
    <w:rsid w:val="00FA7AB6"/>
    <w:rsid w:val="00FB00D9"/>
    <w:rsid w:val="00FB0A1E"/>
    <w:rsid w:val="00FB1861"/>
    <w:rsid w:val="00FB2BF2"/>
    <w:rsid w:val="00FB5690"/>
    <w:rsid w:val="00FB5AD0"/>
    <w:rsid w:val="00FC3118"/>
    <w:rsid w:val="00FC5CE0"/>
    <w:rsid w:val="00FC6B8B"/>
    <w:rsid w:val="00FC716B"/>
    <w:rsid w:val="00FC7E7F"/>
    <w:rsid w:val="00FD17B8"/>
    <w:rsid w:val="00FD2AC1"/>
    <w:rsid w:val="00FD3060"/>
    <w:rsid w:val="00FD3B1A"/>
    <w:rsid w:val="00FD5830"/>
    <w:rsid w:val="00FD75D3"/>
    <w:rsid w:val="00FE097E"/>
    <w:rsid w:val="00FE2466"/>
    <w:rsid w:val="00FE3657"/>
    <w:rsid w:val="00FE7F53"/>
    <w:rsid w:val="00FF02E3"/>
    <w:rsid w:val="00FF0C6E"/>
    <w:rsid w:val="00FF227C"/>
    <w:rsid w:val="00FF37E5"/>
    <w:rsid w:val="00FF3CB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D612B9-0D66-4EDF-A906-7AE62904D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56BE"/>
  </w:style>
  <w:style w:type="paragraph" w:styleId="Heading1">
    <w:name w:val="heading 1"/>
    <w:basedOn w:val="Normal"/>
    <w:next w:val="Normal"/>
    <w:link w:val="Heading1Char"/>
    <w:uiPriority w:val="9"/>
    <w:qFormat/>
    <w:rsid w:val="005836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279E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next w:val="Normal"/>
    <w:qFormat/>
    <w:rsid w:val="00583640"/>
    <w:rPr>
      <w:rFonts w:ascii="Times New Roman" w:hAnsi="Times New Roman"/>
      <w:color w:val="auto"/>
    </w:rPr>
  </w:style>
  <w:style w:type="character" w:customStyle="1" w:styleId="Heading1Char">
    <w:name w:val="Heading 1 Char"/>
    <w:basedOn w:val="DefaultParagraphFont"/>
    <w:link w:val="Heading1"/>
    <w:uiPriority w:val="9"/>
    <w:rsid w:val="00583640"/>
    <w:rPr>
      <w:rFonts w:asciiTheme="majorHAnsi" w:eastAsiaTheme="majorEastAsia" w:hAnsiTheme="majorHAnsi" w:cstheme="majorBidi"/>
      <w:color w:val="2E74B5" w:themeColor="accent1" w:themeShade="BF"/>
      <w:sz w:val="32"/>
      <w:szCs w:val="32"/>
    </w:rPr>
  </w:style>
  <w:style w:type="paragraph" w:customStyle="1" w:styleId="Default">
    <w:name w:val="Default"/>
    <w:rsid w:val="001B4F96"/>
    <w:pPr>
      <w:autoSpaceDE w:val="0"/>
      <w:autoSpaceDN w:val="0"/>
      <w:adjustRightInd w:val="0"/>
    </w:pPr>
    <w:rPr>
      <w:rFonts w:ascii="Calibri Light" w:hAnsi="Calibri Light" w:cs="Calibri Light"/>
      <w:color w:val="000000"/>
    </w:rPr>
  </w:style>
  <w:style w:type="paragraph" w:customStyle="1" w:styleId="EndNoteBibliography">
    <w:name w:val="EndNote Bibliography"/>
    <w:basedOn w:val="Normal"/>
    <w:link w:val="EndNoteBibliographyChar"/>
    <w:rsid w:val="008F01C1"/>
    <w:rPr>
      <w:rFonts w:cs="Times New Roman"/>
      <w:noProof/>
      <w:lang w:val="en-US"/>
    </w:rPr>
  </w:style>
  <w:style w:type="character" w:customStyle="1" w:styleId="EndNoteBibliographyChar">
    <w:name w:val="EndNote Bibliography Char"/>
    <w:basedOn w:val="DefaultParagraphFont"/>
    <w:link w:val="EndNoteBibliography"/>
    <w:rsid w:val="008F01C1"/>
    <w:rPr>
      <w:rFonts w:cs="Times New Roman"/>
      <w:noProof/>
      <w:lang w:val="en-US"/>
    </w:rPr>
  </w:style>
  <w:style w:type="paragraph" w:styleId="NormalWeb">
    <w:name w:val="Normal (Web)"/>
    <w:basedOn w:val="Normal"/>
    <w:uiPriority w:val="99"/>
    <w:unhideWhenUsed/>
    <w:rsid w:val="00A5321F"/>
    <w:rPr>
      <w:rFonts w:ascii="Garamond" w:eastAsia="Times New Roman" w:hAnsi="Garamond" w:cs="Times New Roman"/>
      <w:lang w:eastAsia="en-AU"/>
    </w:rPr>
  </w:style>
  <w:style w:type="paragraph" w:customStyle="1" w:styleId="blue">
    <w:name w:val="blue"/>
    <w:basedOn w:val="Normal"/>
    <w:rsid w:val="00856540"/>
    <w:pPr>
      <w:spacing w:before="100" w:beforeAutospacing="1" w:after="100" w:afterAutospacing="1"/>
    </w:pPr>
    <w:rPr>
      <w:rFonts w:eastAsia="Times New Roman" w:cs="Times New Roman"/>
    </w:rPr>
  </w:style>
  <w:style w:type="paragraph" w:customStyle="1" w:styleId="contact-title">
    <w:name w:val="contact-title"/>
    <w:basedOn w:val="Normal"/>
    <w:rsid w:val="00856540"/>
    <w:pPr>
      <w:spacing w:before="100" w:beforeAutospacing="1" w:after="100" w:afterAutospacing="1"/>
    </w:pPr>
    <w:rPr>
      <w:rFonts w:eastAsia="Times New Roman" w:cs="Times New Roman"/>
    </w:rPr>
  </w:style>
  <w:style w:type="character" w:styleId="Strong">
    <w:name w:val="Strong"/>
    <w:basedOn w:val="DefaultParagraphFont"/>
    <w:uiPriority w:val="22"/>
    <w:qFormat/>
    <w:rsid w:val="00856540"/>
    <w:rPr>
      <w:b/>
      <w:bCs/>
    </w:rPr>
  </w:style>
  <w:style w:type="character" w:styleId="Hyperlink">
    <w:name w:val="Hyperlink"/>
    <w:basedOn w:val="DefaultParagraphFont"/>
    <w:uiPriority w:val="99"/>
    <w:unhideWhenUsed/>
    <w:rsid w:val="00343217"/>
    <w:rPr>
      <w:color w:val="0563C1" w:themeColor="hyperlink"/>
      <w:u w:val="single"/>
    </w:rPr>
  </w:style>
  <w:style w:type="paragraph" w:styleId="ListParagraph">
    <w:name w:val="List Paragraph"/>
    <w:basedOn w:val="Normal"/>
    <w:uiPriority w:val="34"/>
    <w:qFormat/>
    <w:rsid w:val="00AB6959"/>
    <w:pPr>
      <w:ind w:left="720"/>
      <w:contextualSpacing/>
    </w:pPr>
  </w:style>
  <w:style w:type="character" w:styleId="HTMLCite">
    <w:name w:val="HTML Cite"/>
    <w:basedOn w:val="DefaultParagraphFont"/>
    <w:uiPriority w:val="99"/>
    <w:semiHidden/>
    <w:unhideWhenUsed/>
    <w:rsid w:val="00B11CEE"/>
    <w:rPr>
      <w:i/>
      <w:iCs/>
    </w:rPr>
  </w:style>
  <w:style w:type="paragraph" w:customStyle="1" w:styleId="EndNoteBibliographyTitle">
    <w:name w:val="EndNote Bibliography Title"/>
    <w:basedOn w:val="Normal"/>
    <w:link w:val="EndNoteBibliographyTitleChar"/>
    <w:rsid w:val="00822E0B"/>
    <w:pPr>
      <w:jc w:val="center"/>
    </w:pPr>
    <w:rPr>
      <w:rFonts w:cs="Times New Roman"/>
      <w:noProof/>
      <w:lang w:val="en-US"/>
    </w:rPr>
  </w:style>
  <w:style w:type="character" w:customStyle="1" w:styleId="EndNoteBibliographyTitleChar">
    <w:name w:val="EndNote Bibliography Title Char"/>
    <w:basedOn w:val="DefaultParagraphFont"/>
    <w:link w:val="EndNoteBibliographyTitle"/>
    <w:rsid w:val="00822E0B"/>
    <w:rPr>
      <w:rFonts w:cs="Times New Roman"/>
      <w:noProof/>
      <w:lang w:val="en-US"/>
    </w:rPr>
  </w:style>
  <w:style w:type="paragraph" w:customStyle="1" w:styleId="ydp3381de25msonormal">
    <w:name w:val="ydp3381de25msonormal"/>
    <w:basedOn w:val="Normal"/>
    <w:rsid w:val="00211B33"/>
    <w:pPr>
      <w:spacing w:before="100" w:beforeAutospacing="1" w:after="100" w:afterAutospacing="1"/>
    </w:pPr>
    <w:rPr>
      <w:rFonts w:cs="Times New Roman"/>
      <w:lang w:eastAsia="en-AU"/>
    </w:rPr>
  </w:style>
  <w:style w:type="paragraph" w:styleId="BalloonText">
    <w:name w:val="Balloon Text"/>
    <w:basedOn w:val="Normal"/>
    <w:link w:val="BalloonTextChar"/>
    <w:uiPriority w:val="99"/>
    <w:semiHidden/>
    <w:unhideWhenUsed/>
    <w:rsid w:val="009619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9A0"/>
    <w:rPr>
      <w:rFonts w:ascii="Segoe UI" w:hAnsi="Segoe UI" w:cs="Segoe UI"/>
      <w:sz w:val="18"/>
      <w:szCs w:val="18"/>
    </w:rPr>
  </w:style>
  <w:style w:type="character" w:customStyle="1" w:styleId="apple-converted-space">
    <w:name w:val="apple-converted-space"/>
    <w:basedOn w:val="DefaultParagraphFont"/>
    <w:rsid w:val="006F1AAD"/>
  </w:style>
  <w:style w:type="character" w:customStyle="1" w:styleId="fn">
    <w:name w:val="fn"/>
    <w:basedOn w:val="DefaultParagraphFont"/>
    <w:rsid w:val="009E3827"/>
  </w:style>
  <w:style w:type="paragraph" w:customStyle="1" w:styleId="Pa4">
    <w:name w:val="Pa4"/>
    <w:basedOn w:val="Default"/>
    <w:next w:val="Default"/>
    <w:uiPriority w:val="99"/>
    <w:rsid w:val="0006797F"/>
    <w:pPr>
      <w:spacing w:line="201" w:lineRule="atLeast"/>
    </w:pPr>
    <w:rPr>
      <w:rFonts w:ascii="Museo Sans 700" w:hAnsi="Museo Sans 700" w:cstheme="minorBidi"/>
      <w:color w:val="auto"/>
    </w:rPr>
  </w:style>
  <w:style w:type="character" w:customStyle="1" w:styleId="A10">
    <w:name w:val="A10"/>
    <w:uiPriority w:val="99"/>
    <w:rsid w:val="0006797F"/>
    <w:rPr>
      <w:rFonts w:ascii="Museo Sans 100" w:hAnsi="Museo Sans 100" w:cs="Museo Sans 100"/>
      <w:color w:val="56575A"/>
      <w:sz w:val="11"/>
      <w:szCs w:val="11"/>
    </w:rPr>
  </w:style>
  <w:style w:type="paragraph" w:styleId="NoSpacing">
    <w:name w:val="No Spacing"/>
    <w:uiPriority w:val="1"/>
    <w:qFormat/>
    <w:rsid w:val="0071191A"/>
  </w:style>
  <w:style w:type="character" w:customStyle="1" w:styleId="Heading2Char">
    <w:name w:val="Heading 2 Char"/>
    <w:basedOn w:val="DefaultParagraphFont"/>
    <w:link w:val="Heading2"/>
    <w:uiPriority w:val="9"/>
    <w:semiHidden/>
    <w:rsid w:val="007279E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950">
      <w:bodyDiv w:val="1"/>
      <w:marLeft w:val="0"/>
      <w:marRight w:val="0"/>
      <w:marTop w:val="0"/>
      <w:marBottom w:val="0"/>
      <w:divBdr>
        <w:top w:val="none" w:sz="0" w:space="0" w:color="auto"/>
        <w:left w:val="none" w:sz="0" w:space="0" w:color="auto"/>
        <w:bottom w:val="none" w:sz="0" w:space="0" w:color="auto"/>
        <w:right w:val="none" w:sz="0" w:space="0" w:color="auto"/>
      </w:divBdr>
    </w:div>
    <w:div w:id="44182814">
      <w:bodyDiv w:val="1"/>
      <w:marLeft w:val="0"/>
      <w:marRight w:val="0"/>
      <w:marTop w:val="0"/>
      <w:marBottom w:val="0"/>
      <w:divBdr>
        <w:top w:val="none" w:sz="0" w:space="0" w:color="auto"/>
        <w:left w:val="none" w:sz="0" w:space="0" w:color="auto"/>
        <w:bottom w:val="none" w:sz="0" w:space="0" w:color="auto"/>
        <w:right w:val="none" w:sz="0" w:space="0" w:color="auto"/>
      </w:divBdr>
    </w:div>
    <w:div w:id="63570303">
      <w:bodyDiv w:val="1"/>
      <w:marLeft w:val="0"/>
      <w:marRight w:val="0"/>
      <w:marTop w:val="0"/>
      <w:marBottom w:val="0"/>
      <w:divBdr>
        <w:top w:val="none" w:sz="0" w:space="0" w:color="auto"/>
        <w:left w:val="none" w:sz="0" w:space="0" w:color="auto"/>
        <w:bottom w:val="none" w:sz="0" w:space="0" w:color="auto"/>
        <w:right w:val="none" w:sz="0" w:space="0" w:color="auto"/>
      </w:divBdr>
    </w:div>
    <w:div w:id="69666454">
      <w:bodyDiv w:val="1"/>
      <w:marLeft w:val="0"/>
      <w:marRight w:val="0"/>
      <w:marTop w:val="0"/>
      <w:marBottom w:val="0"/>
      <w:divBdr>
        <w:top w:val="none" w:sz="0" w:space="0" w:color="auto"/>
        <w:left w:val="none" w:sz="0" w:space="0" w:color="auto"/>
        <w:bottom w:val="none" w:sz="0" w:space="0" w:color="auto"/>
        <w:right w:val="none" w:sz="0" w:space="0" w:color="auto"/>
      </w:divBdr>
    </w:div>
    <w:div w:id="118886736">
      <w:bodyDiv w:val="1"/>
      <w:marLeft w:val="0"/>
      <w:marRight w:val="0"/>
      <w:marTop w:val="0"/>
      <w:marBottom w:val="0"/>
      <w:divBdr>
        <w:top w:val="none" w:sz="0" w:space="0" w:color="auto"/>
        <w:left w:val="none" w:sz="0" w:space="0" w:color="auto"/>
        <w:bottom w:val="none" w:sz="0" w:space="0" w:color="auto"/>
        <w:right w:val="none" w:sz="0" w:space="0" w:color="auto"/>
      </w:divBdr>
    </w:div>
    <w:div w:id="126973628">
      <w:bodyDiv w:val="1"/>
      <w:marLeft w:val="0"/>
      <w:marRight w:val="0"/>
      <w:marTop w:val="0"/>
      <w:marBottom w:val="0"/>
      <w:divBdr>
        <w:top w:val="none" w:sz="0" w:space="0" w:color="auto"/>
        <w:left w:val="none" w:sz="0" w:space="0" w:color="auto"/>
        <w:bottom w:val="none" w:sz="0" w:space="0" w:color="auto"/>
        <w:right w:val="none" w:sz="0" w:space="0" w:color="auto"/>
      </w:divBdr>
    </w:div>
    <w:div w:id="147357290">
      <w:bodyDiv w:val="1"/>
      <w:marLeft w:val="0"/>
      <w:marRight w:val="0"/>
      <w:marTop w:val="0"/>
      <w:marBottom w:val="0"/>
      <w:divBdr>
        <w:top w:val="none" w:sz="0" w:space="0" w:color="auto"/>
        <w:left w:val="none" w:sz="0" w:space="0" w:color="auto"/>
        <w:bottom w:val="none" w:sz="0" w:space="0" w:color="auto"/>
        <w:right w:val="none" w:sz="0" w:space="0" w:color="auto"/>
      </w:divBdr>
    </w:div>
    <w:div w:id="205146005">
      <w:bodyDiv w:val="1"/>
      <w:marLeft w:val="0"/>
      <w:marRight w:val="0"/>
      <w:marTop w:val="0"/>
      <w:marBottom w:val="0"/>
      <w:divBdr>
        <w:top w:val="none" w:sz="0" w:space="0" w:color="auto"/>
        <w:left w:val="none" w:sz="0" w:space="0" w:color="auto"/>
        <w:bottom w:val="none" w:sz="0" w:space="0" w:color="auto"/>
        <w:right w:val="none" w:sz="0" w:space="0" w:color="auto"/>
      </w:divBdr>
    </w:div>
    <w:div w:id="220098736">
      <w:bodyDiv w:val="1"/>
      <w:marLeft w:val="0"/>
      <w:marRight w:val="0"/>
      <w:marTop w:val="0"/>
      <w:marBottom w:val="0"/>
      <w:divBdr>
        <w:top w:val="none" w:sz="0" w:space="0" w:color="auto"/>
        <w:left w:val="none" w:sz="0" w:space="0" w:color="auto"/>
        <w:bottom w:val="none" w:sz="0" w:space="0" w:color="auto"/>
        <w:right w:val="none" w:sz="0" w:space="0" w:color="auto"/>
      </w:divBdr>
    </w:div>
    <w:div w:id="244416147">
      <w:bodyDiv w:val="1"/>
      <w:marLeft w:val="0"/>
      <w:marRight w:val="0"/>
      <w:marTop w:val="0"/>
      <w:marBottom w:val="0"/>
      <w:divBdr>
        <w:top w:val="none" w:sz="0" w:space="0" w:color="auto"/>
        <w:left w:val="none" w:sz="0" w:space="0" w:color="auto"/>
        <w:bottom w:val="none" w:sz="0" w:space="0" w:color="auto"/>
        <w:right w:val="none" w:sz="0" w:space="0" w:color="auto"/>
      </w:divBdr>
    </w:div>
    <w:div w:id="253438504">
      <w:bodyDiv w:val="1"/>
      <w:marLeft w:val="0"/>
      <w:marRight w:val="0"/>
      <w:marTop w:val="0"/>
      <w:marBottom w:val="0"/>
      <w:divBdr>
        <w:top w:val="none" w:sz="0" w:space="0" w:color="auto"/>
        <w:left w:val="none" w:sz="0" w:space="0" w:color="auto"/>
        <w:bottom w:val="none" w:sz="0" w:space="0" w:color="auto"/>
        <w:right w:val="none" w:sz="0" w:space="0" w:color="auto"/>
      </w:divBdr>
    </w:div>
    <w:div w:id="292902761">
      <w:bodyDiv w:val="1"/>
      <w:marLeft w:val="0"/>
      <w:marRight w:val="0"/>
      <w:marTop w:val="0"/>
      <w:marBottom w:val="0"/>
      <w:divBdr>
        <w:top w:val="none" w:sz="0" w:space="0" w:color="auto"/>
        <w:left w:val="none" w:sz="0" w:space="0" w:color="auto"/>
        <w:bottom w:val="none" w:sz="0" w:space="0" w:color="auto"/>
        <w:right w:val="none" w:sz="0" w:space="0" w:color="auto"/>
      </w:divBdr>
    </w:div>
    <w:div w:id="301007190">
      <w:bodyDiv w:val="1"/>
      <w:marLeft w:val="0"/>
      <w:marRight w:val="0"/>
      <w:marTop w:val="0"/>
      <w:marBottom w:val="0"/>
      <w:divBdr>
        <w:top w:val="none" w:sz="0" w:space="0" w:color="auto"/>
        <w:left w:val="none" w:sz="0" w:space="0" w:color="auto"/>
        <w:bottom w:val="none" w:sz="0" w:space="0" w:color="auto"/>
        <w:right w:val="none" w:sz="0" w:space="0" w:color="auto"/>
      </w:divBdr>
      <w:divsChild>
        <w:div w:id="732657069">
          <w:marLeft w:val="0"/>
          <w:marRight w:val="0"/>
          <w:marTop w:val="0"/>
          <w:marBottom w:val="0"/>
          <w:divBdr>
            <w:top w:val="none" w:sz="0" w:space="0" w:color="auto"/>
            <w:left w:val="none" w:sz="0" w:space="0" w:color="auto"/>
            <w:bottom w:val="none" w:sz="0" w:space="0" w:color="auto"/>
            <w:right w:val="none" w:sz="0" w:space="0" w:color="auto"/>
          </w:divBdr>
          <w:divsChild>
            <w:div w:id="1810202097">
              <w:marLeft w:val="0"/>
              <w:marRight w:val="0"/>
              <w:marTop w:val="0"/>
              <w:marBottom w:val="0"/>
              <w:divBdr>
                <w:top w:val="none" w:sz="0" w:space="0" w:color="auto"/>
                <w:left w:val="none" w:sz="0" w:space="0" w:color="auto"/>
                <w:bottom w:val="none" w:sz="0" w:space="0" w:color="auto"/>
                <w:right w:val="none" w:sz="0" w:space="0" w:color="auto"/>
              </w:divBdr>
              <w:divsChild>
                <w:div w:id="20756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16358">
      <w:bodyDiv w:val="1"/>
      <w:marLeft w:val="0"/>
      <w:marRight w:val="0"/>
      <w:marTop w:val="0"/>
      <w:marBottom w:val="0"/>
      <w:divBdr>
        <w:top w:val="none" w:sz="0" w:space="0" w:color="auto"/>
        <w:left w:val="none" w:sz="0" w:space="0" w:color="auto"/>
        <w:bottom w:val="none" w:sz="0" w:space="0" w:color="auto"/>
        <w:right w:val="none" w:sz="0" w:space="0" w:color="auto"/>
      </w:divBdr>
    </w:div>
    <w:div w:id="356583349">
      <w:bodyDiv w:val="1"/>
      <w:marLeft w:val="0"/>
      <w:marRight w:val="0"/>
      <w:marTop w:val="0"/>
      <w:marBottom w:val="0"/>
      <w:divBdr>
        <w:top w:val="none" w:sz="0" w:space="0" w:color="auto"/>
        <w:left w:val="none" w:sz="0" w:space="0" w:color="auto"/>
        <w:bottom w:val="none" w:sz="0" w:space="0" w:color="auto"/>
        <w:right w:val="none" w:sz="0" w:space="0" w:color="auto"/>
      </w:divBdr>
    </w:div>
    <w:div w:id="414322995">
      <w:bodyDiv w:val="1"/>
      <w:marLeft w:val="0"/>
      <w:marRight w:val="0"/>
      <w:marTop w:val="0"/>
      <w:marBottom w:val="0"/>
      <w:divBdr>
        <w:top w:val="none" w:sz="0" w:space="0" w:color="auto"/>
        <w:left w:val="none" w:sz="0" w:space="0" w:color="auto"/>
        <w:bottom w:val="none" w:sz="0" w:space="0" w:color="auto"/>
        <w:right w:val="none" w:sz="0" w:space="0" w:color="auto"/>
      </w:divBdr>
    </w:div>
    <w:div w:id="427043527">
      <w:bodyDiv w:val="1"/>
      <w:marLeft w:val="0"/>
      <w:marRight w:val="0"/>
      <w:marTop w:val="0"/>
      <w:marBottom w:val="0"/>
      <w:divBdr>
        <w:top w:val="none" w:sz="0" w:space="0" w:color="auto"/>
        <w:left w:val="none" w:sz="0" w:space="0" w:color="auto"/>
        <w:bottom w:val="none" w:sz="0" w:space="0" w:color="auto"/>
        <w:right w:val="none" w:sz="0" w:space="0" w:color="auto"/>
      </w:divBdr>
    </w:div>
    <w:div w:id="431633538">
      <w:bodyDiv w:val="1"/>
      <w:marLeft w:val="0"/>
      <w:marRight w:val="0"/>
      <w:marTop w:val="0"/>
      <w:marBottom w:val="0"/>
      <w:divBdr>
        <w:top w:val="none" w:sz="0" w:space="0" w:color="auto"/>
        <w:left w:val="none" w:sz="0" w:space="0" w:color="auto"/>
        <w:bottom w:val="none" w:sz="0" w:space="0" w:color="auto"/>
        <w:right w:val="none" w:sz="0" w:space="0" w:color="auto"/>
      </w:divBdr>
    </w:div>
    <w:div w:id="548108049">
      <w:bodyDiv w:val="1"/>
      <w:marLeft w:val="0"/>
      <w:marRight w:val="0"/>
      <w:marTop w:val="0"/>
      <w:marBottom w:val="0"/>
      <w:divBdr>
        <w:top w:val="none" w:sz="0" w:space="0" w:color="auto"/>
        <w:left w:val="none" w:sz="0" w:space="0" w:color="auto"/>
        <w:bottom w:val="none" w:sz="0" w:space="0" w:color="auto"/>
        <w:right w:val="none" w:sz="0" w:space="0" w:color="auto"/>
      </w:divBdr>
    </w:div>
    <w:div w:id="565454404">
      <w:bodyDiv w:val="1"/>
      <w:marLeft w:val="0"/>
      <w:marRight w:val="0"/>
      <w:marTop w:val="0"/>
      <w:marBottom w:val="0"/>
      <w:divBdr>
        <w:top w:val="none" w:sz="0" w:space="0" w:color="auto"/>
        <w:left w:val="none" w:sz="0" w:space="0" w:color="auto"/>
        <w:bottom w:val="none" w:sz="0" w:space="0" w:color="auto"/>
        <w:right w:val="none" w:sz="0" w:space="0" w:color="auto"/>
      </w:divBdr>
    </w:div>
    <w:div w:id="567228457">
      <w:bodyDiv w:val="1"/>
      <w:marLeft w:val="0"/>
      <w:marRight w:val="0"/>
      <w:marTop w:val="0"/>
      <w:marBottom w:val="0"/>
      <w:divBdr>
        <w:top w:val="none" w:sz="0" w:space="0" w:color="auto"/>
        <w:left w:val="none" w:sz="0" w:space="0" w:color="auto"/>
        <w:bottom w:val="none" w:sz="0" w:space="0" w:color="auto"/>
        <w:right w:val="none" w:sz="0" w:space="0" w:color="auto"/>
      </w:divBdr>
    </w:div>
    <w:div w:id="599683093">
      <w:bodyDiv w:val="1"/>
      <w:marLeft w:val="0"/>
      <w:marRight w:val="0"/>
      <w:marTop w:val="0"/>
      <w:marBottom w:val="0"/>
      <w:divBdr>
        <w:top w:val="none" w:sz="0" w:space="0" w:color="auto"/>
        <w:left w:val="none" w:sz="0" w:space="0" w:color="auto"/>
        <w:bottom w:val="none" w:sz="0" w:space="0" w:color="auto"/>
        <w:right w:val="none" w:sz="0" w:space="0" w:color="auto"/>
      </w:divBdr>
    </w:div>
    <w:div w:id="637611829">
      <w:bodyDiv w:val="1"/>
      <w:marLeft w:val="0"/>
      <w:marRight w:val="0"/>
      <w:marTop w:val="0"/>
      <w:marBottom w:val="0"/>
      <w:divBdr>
        <w:top w:val="none" w:sz="0" w:space="0" w:color="auto"/>
        <w:left w:val="none" w:sz="0" w:space="0" w:color="auto"/>
        <w:bottom w:val="none" w:sz="0" w:space="0" w:color="auto"/>
        <w:right w:val="none" w:sz="0" w:space="0" w:color="auto"/>
      </w:divBdr>
    </w:div>
    <w:div w:id="656111068">
      <w:bodyDiv w:val="1"/>
      <w:marLeft w:val="0"/>
      <w:marRight w:val="0"/>
      <w:marTop w:val="0"/>
      <w:marBottom w:val="0"/>
      <w:divBdr>
        <w:top w:val="none" w:sz="0" w:space="0" w:color="auto"/>
        <w:left w:val="none" w:sz="0" w:space="0" w:color="auto"/>
        <w:bottom w:val="none" w:sz="0" w:space="0" w:color="auto"/>
        <w:right w:val="none" w:sz="0" w:space="0" w:color="auto"/>
      </w:divBdr>
    </w:div>
    <w:div w:id="656807120">
      <w:bodyDiv w:val="1"/>
      <w:marLeft w:val="0"/>
      <w:marRight w:val="0"/>
      <w:marTop w:val="0"/>
      <w:marBottom w:val="0"/>
      <w:divBdr>
        <w:top w:val="none" w:sz="0" w:space="0" w:color="auto"/>
        <w:left w:val="none" w:sz="0" w:space="0" w:color="auto"/>
        <w:bottom w:val="none" w:sz="0" w:space="0" w:color="auto"/>
        <w:right w:val="none" w:sz="0" w:space="0" w:color="auto"/>
      </w:divBdr>
    </w:div>
    <w:div w:id="679625016">
      <w:bodyDiv w:val="1"/>
      <w:marLeft w:val="0"/>
      <w:marRight w:val="0"/>
      <w:marTop w:val="0"/>
      <w:marBottom w:val="0"/>
      <w:divBdr>
        <w:top w:val="none" w:sz="0" w:space="0" w:color="auto"/>
        <w:left w:val="none" w:sz="0" w:space="0" w:color="auto"/>
        <w:bottom w:val="none" w:sz="0" w:space="0" w:color="auto"/>
        <w:right w:val="none" w:sz="0" w:space="0" w:color="auto"/>
      </w:divBdr>
      <w:divsChild>
        <w:div w:id="578487140">
          <w:marLeft w:val="0"/>
          <w:marRight w:val="0"/>
          <w:marTop w:val="0"/>
          <w:marBottom w:val="0"/>
          <w:divBdr>
            <w:top w:val="none" w:sz="0" w:space="0" w:color="auto"/>
            <w:left w:val="none" w:sz="0" w:space="0" w:color="auto"/>
            <w:bottom w:val="none" w:sz="0" w:space="0" w:color="auto"/>
            <w:right w:val="none" w:sz="0" w:space="0" w:color="auto"/>
          </w:divBdr>
          <w:divsChild>
            <w:div w:id="900558606">
              <w:marLeft w:val="0"/>
              <w:marRight w:val="0"/>
              <w:marTop w:val="0"/>
              <w:marBottom w:val="0"/>
              <w:divBdr>
                <w:top w:val="none" w:sz="0" w:space="0" w:color="auto"/>
                <w:left w:val="none" w:sz="0" w:space="0" w:color="auto"/>
                <w:bottom w:val="none" w:sz="0" w:space="0" w:color="auto"/>
                <w:right w:val="none" w:sz="0" w:space="0" w:color="auto"/>
              </w:divBdr>
              <w:divsChild>
                <w:div w:id="1489437374">
                  <w:marLeft w:val="0"/>
                  <w:marRight w:val="0"/>
                  <w:marTop w:val="0"/>
                  <w:marBottom w:val="0"/>
                  <w:divBdr>
                    <w:top w:val="none" w:sz="0" w:space="0" w:color="auto"/>
                    <w:left w:val="none" w:sz="0" w:space="0" w:color="auto"/>
                    <w:bottom w:val="none" w:sz="0" w:space="0" w:color="auto"/>
                    <w:right w:val="none" w:sz="0" w:space="0" w:color="auto"/>
                  </w:divBdr>
                  <w:divsChild>
                    <w:div w:id="2059817725">
                      <w:marLeft w:val="0"/>
                      <w:marRight w:val="0"/>
                      <w:marTop w:val="0"/>
                      <w:marBottom w:val="0"/>
                      <w:divBdr>
                        <w:top w:val="none" w:sz="0" w:space="0" w:color="auto"/>
                        <w:left w:val="none" w:sz="0" w:space="0" w:color="auto"/>
                        <w:bottom w:val="none" w:sz="0" w:space="0" w:color="auto"/>
                        <w:right w:val="none" w:sz="0" w:space="0" w:color="auto"/>
                      </w:divBdr>
                      <w:divsChild>
                        <w:div w:id="1782917920">
                          <w:marLeft w:val="300"/>
                          <w:marRight w:val="300"/>
                          <w:marTop w:val="0"/>
                          <w:marBottom w:val="0"/>
                          <w:divBdr>
                            <w:top w:val="none" w:sz="0" w:space="0" w:color="auto"/>
                            <w:left w:val="none" w:sz="0" w:space="0" w:color="auto"/>
                            <w:bottom w:val="none" w:sz="0" w:space="0" w:color="auto"/>
                            <w:right w:val="none" w:sz="0" w:space="0" w:color="auto"/>
                          </w:divBdr>
                          <w:divsChild>
                            <w:div w:id="1235701248">
                              <w:marLeft w:val="0"/>
                              <w:marRight w:val="0"/>
                              <w:marTop w:val="0"/>
                              <w:marBottom w:val="0"/>
                              <w:divBdr>
                                <w:top w:val="none" w:sz="0" w:space="0" w:color="auto"/>
                                <w:left w:val="none" w:sz="0" w:space="0" w:color="auto"/>
                                <w:bottom w:val="none" w:sz="0" w:space="0" w:color="auto"/>
                                <w:right w:val="none" w:sz="0" w:space="0" w:color="auto"/>
                              </w:divBdr>
                              <w:divsChild>
                                <w:div w:id="738288455">
                                  <w:marLeft w:val="0"/>
                                  <w:marRight w:val="0"/>
                                  <w:marTop w:val="0"/>
                                  <w:marBottom w:val="225"/>
                                  <w:divBdr>
                                    <w:top w:val="none" w:sz="0" w:space="0" w:color="auto"/>
                                    <w:left w:val="none" w:sz="0" w:space="0" w:color="auto"/>
                                    <w:bottom w:val="none" w:sz="0" w:space="0" w:color="auto"/>
                                    <w:right w:val="none" w:sz="0" w:space="0" w:color="auto"/>
                                  </w:divBdr>
                                  <w:divsChild>
                                    <w:div w:id="185415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613189">
      <w:bodyDiv w:val="1"/>
      <w:marLeft w:val="0"/>
      <w:marRight w:val="0"/>
      <w:marTop w:val="0"/>
      <w:marBottom w:val="0"/>
      <w:divBdr>
        <w:top w:val="none" w:sz="0" w:space="0" w:color="auto"/>
        <w:left w:val="none" w:sz="0" w:space="0" w:color="auto"/>
        <w:bottom w:val="none" w:sz="0" w:space="0" w:color="auto"/>
        <w:right w:val="none" w:sz="0" w:space="0" w:color="auto"/>
      </w:divBdr>
    </w:div>
    <w:div w:id="727609125">
      <w:bodyDiv w:val="1"/>
      <w:marLeft w:val="0"/>
      <w:marRight w:val="0"/>
      <w:marTop w:val="0"/>
      <w:marBottom w:val="0"/>
      <w:divBdr>
        <w:top w:val="none" w:sz="0" w:space="0" w:color="auto"/>
        <w:left w:val="none" w:sz="0" w:space="0" w:color="auto"/>
        <w:bottom w:val="none" w:sz="0" w:space="0" w:color="auto"/>
        <w:right w:val="none" w:sz="0" w:space="0" w:color="auto"/>
      </w:divBdr>
    </w:div>
    <w:div w:id="728460658">
      <w:bodyDiv w:val="1"/>
      <w:marLeft w:val="0"/>
      <w:marRight w:val="0"/>
      <w:marTop w:val="0"/>
      <w:marBottom w:val="0"/>
      <w:divBdr>
        <w:top w:val="none" w:sz="0" w:space="0" w:color="auto"/>
        <w:left w:val="none" w:sz="0" w:space="0" w:color="auto"/>
        <w:bottom w:val="none" w:sz="0" w:space="0" w:color="auto"/>
        <w:right w:val="none" w:sz="0" w:space="0" w:color="auto"/>
      </w:divBdr>
    </w:div>
    <w:div w:id="728697684">
      <w:bodyDiv w:val="1"/>
      <w:marLeft w:val="0"/>
      <w:marRight w:val="0"/>
      <w:marTop w:val="0"/>
      <w:marBottom w:val="0"/>
      <w:divBdr>
        <w:top w:val="none" w:sz="0" w:space="0" w:color="auto"/>
        <w:left w:val="none" w:sz="0" w:space="0" w:color="auto"/>
        <w:bottom w:val="none" w:sz="0" w:space="0" w:color="auto"/>
        <w:right w:val="none" w:sz="0" w:space="0" w:color="auto"/>
      </w:divBdr>
    </w:div>
    <w:div w:id="739407336">
      <w:bodyDiv w:val="1"/>
      <w:marLeft w:val="0"/>
      <w:marRight w:val="0"/>
      <w:marTop w:val="0"/>
      <w:marBottom w:val="0"/>
      <w:divBdr>
        <w:top w:val="none" w:sz="0" w:space="0" w:color="auto"/>
        <w:left w:val="none" w:sz="0" w:space="0" w:color="auto"/>
        <w:bottom w:val="none" w:sz="0" w:space="0" w:color="auto"/>
        <w:right w:val="none" w:sz="0" w:space="0" w:color="auto"/>
      </w:divBdr>
      <w:divsChild>
        <w:div w:id="932861892">
          <w:marLeft w:val="0"/>
          <w:marRight w:val="0"/>
          <w:marTop w:val="0"/>
          <w:marBottom w:val="0"/>
          <w:divBdr>
            <w:top w:val="none" w:sz="0" w:space="0" w:color="auto"/>
            <w:left w:val="none" w:sz="0" w:space="0" w:color="auto"/>
            <w:bottom w:val="none" w:sz="0" w:space="0" w:color="auto"/>
            <w:right w:val="none" w:sz="0" w:space="0" w:color="auto"/>
          </w:divBdr>
        </w:div>
      </w:divsChild>
    </w:div>
    <w:div w:id="794521525">
      <w:bodyDiv w:val="1"/>
      <w:marLeft w:val="0"/>
      <w:marRight w:val="0"/>
      <w:marTop w:val="0"/>
      <w:marBottom w:val="0"/>
      <w:divBdr>
        <w:top w:val="none" w:sz="0" w:space="0" w:color="auto"/>
        <w:left w:val="none" w:sz="0" w:space="0" w:color="auto"/>
        <w:bottom w:val="none" w:sz="0" w:space="0" w:color="auto"/>
        <w:right w:val="none" w:sz="0" w:space="0" w:color="auto"/>
      </w:divBdr>
    </w:div>
    <w:div w:id="832526212">
      <w:bodyDiv w:val="1"/>
      <w:marLeft w:val="0"/>
      <w:marRight w:val="0"/>
      <w:marTop w:val="0"/>
      <w:marBottom w:val="0"/>
      <w:divBdr>
        <w:top w:val="none" w:sz="0" w:space="0" w:color="auto"/>
        <w:left w:val="none" w:sz="0" w:space="0" w:color="auto"/>
        <w:bottom w:val="none" w:sz="0" w:space="0" w:color="auto"/>
        <w:right w:val="none" w:sz="0" w:space="0" w:color="auto"/>
      </w:divBdr>
    </w:div>
    <w:div w:id="856968012">
      <w:bodyDiv w:val="1"/>
      <w:marLeft w:val="0"/>
      <w:marRight w:val="0"/>
      <w:marTop w:val="0"/>
      <w:marBottom w:val="0"/>
      <w:divBdr>
        <w:top w:val="none" w:sz="0" w:space="0" w:color="auto"/>
        <w:left w:val="none" w:sz="0" w:space="0" w:color="auto"/>
        <w:bottom w:val="none" w:sz="0" w:space="0" w:color="auto"/>
        <w:right w:val="none" w:sz="0" w:space="0" w:color="auto"/>
      </w:divBdr>
      <w:divsChild>
        <w:div w:id="1988967924">
          <w:marLeft w:val="0"/>
          <w:marRight w:val="0"/>
          <w:marTop w:val="0"/>
          <w:marBottom w:val="0"/>
          <w:divBdr>
            <w:top w:val="none" w:sz="0" w:space="0" w:color="auto"/>
            <w:left w:val="none" w:sz="0" w:space="0" w:color="auto"/>
            <w:bottom w:val="none" w:sz="0" w:space="0" w:color="auto"/>
            <w:right w:val="none" w:sz="0" w:space="0" w:color="auto"/>
          </w:divBdr>
        </w:div>
        <w:div w:id="1357317154">
          <w:marLeft w:val="0"/>
          <w:marRight w:val="0"/>
          <w:marTop w:val="0"/>
          <w:marBottom w:val="0"/>
          <w:divBdr>
            <w:top w:val="none" w:sz="0" w:space="0" w:color="auto"/>
            <w:left w:val="none" w:sz="0" w:space="0" w:color="auto"/>
            <w:bottom w:val="none" w:sz="0" w:space="0" w:color="auto"/>
            <w:right w:val="none" w:sz="0" w:space="0" w:color="auto"/>
          </w:divBdr>
        </w:div>
        <w:div w:id="446463134">
          <w:marLeft w:val="0"/>
          <w:marRight w:val="0"/>
          <w:marTop w:val="0"/>
          <w:marBottom w:val="0"/>
          <w:divBdr>
            <w:top w:val="none" w:sz="0" w:space="0" w:color="auto"/>
            <w:left w:val="none" w:sz="0" w:space="0" w:color="auto"/>
            <w:bottom w:val="none" w:sz="0" w:space="0" w:color="auto"/>
            <w:right w:val="none" w:sz="0" w:space="0" w:color="auto"/>
          </w:divBdr>
        </w:div>
        <w:div w:id="1949198936">
          <w:marLeft w:val="0"/>
          <w:marRight w:val="0"/>
          <w:marTop w:val="0"/>
          <w:marBottom w:val="0"/>
          <w:divBdr>
            <w:top w:val="none" w:sz="0" w:space="0" w:color="auto"/>
            <w:left w:val="none" w:sz="0" w:space="0" w:color="auto"/>
            <w:bottom w:val="none" w:sz="0" w:space="0" w:color="auto"/>
            <w:right w:val="none" w:sz="0" w:space="0" w:color="auto"/>
          </w:divBdr>
        </w:div>
        <w:div w:id="1406487555">
          <w:marLeft w:val="0"/>
          <w:marRight w:val="0"/>
          <w:marTop w:val="0"/>
          <w:marBottom w:val="0"/>
          <w:divBdr>
            <w:top w:val="none" w:sz="0" w:space="0" w:color="auto"/>
            <w:left w:val="none" w:sz="0" w:space="0" w:color="auto"/>
            <w:bottom w:val="none" w:sz="0" w:space="0" w:color="auto"/>
            <w:right w:val="none" w:sz="0" w:space="0" w:color="auto"/>
          </w:divBdr>
        </w:div>
        <w:div w:id="772020814">
          <w:marLeft w:val="0"/>
          <w:marRight w:val="0"/>
          <w:marTop w:val="0"/>
          <w:marBottom w:val="0"/>
          <w:divBdr>
            <w:top w:val="none" w:sz="0" w:space="0" w:color="auto"/>
            <w:left w:val="none" w:sz="0" w:space="0" w:color="auto"/>
            <w:bottom w:val="none" w:sz="0" w:space="0" w:color="auto"/>
            <w:right w:val="none" w:sz="0" w:space="0" w:color="auto"/>
          </w:divBdr>
        </w:div>
        <w:div w:id="1045909177">
          <w:marLeft w:val="0"/>
          <w:marRight w:val="0"/>
          <w:marTop w:val="0"/>
          <w:marBottom w:val="0"/>
          <w:divBdr>
            <w:top w:val="none" w:sz="0" w:space="0" w:color="auto"/>
            <w:left w:val="none" w:sz="0" w:space="0" w:color="auto"/>
            <w:bottom w:val="none" w:sz="0" w:space="0" w:color="auto"/>
            <w:right w:val="none" w:sz="0" w:space="0" w:color="auto"/>
          </w:divBdr>
        </w:div>
        <w:div w:id="932473622">
          <w:marLeft w:val="0"/>
          <w:marRight w:val="0"/>
          <w:marTop w:val="0"/>
          <w:marBottom w:val="0"/>
          <w:divBdr>
            <w:top w:val="none" w:sz="0" w:space="0" w:color="auto"/>
            <w:left w:val="none" w:sz="0" w:space="0" w:color="auto"/>
            <w:bottom w:val="none" w:sz="0" w:space="0" w:color="auto"/>
            <w:right w:val="none" w:sz="0" w:space="0" w:color="auto"/>
          </w:divBdr>
        </w:div>
        <w:div w:id="1466003525">
          <w:marLeft w:val="0"/>
          <w:marRight w:val="0"/>
          <w:marTop w:val="0"/>
          <w:marBottom w:val="0"/>
          <w:divBdr>
            <w:top w:val="none" w:sz="0" w:space="0" w:color="auto"/>
            <w:left w:val="none" w:sz="0" w:space="0" w:color="auto"/>
            <w:bottom w:val="none" w:sz="0" w:space="0" w:color="auto"/>
            <w:right w:val="none" w:sz="0" w:space="0" w:color="auto"/>
          </w:divBdr>
        </w:div>
      </w:divsChild>
    </w:div>
    <w:div w:id="858082407">
      <w:bodyDiv w:val="1"/>
      <w:marLeft w:val="0"/>
      <w:marRight w:val="0"/>
      <w:marTop w:val="0"/>
      <w:marBottom w:val="0"/>
      <w:divBdr>
        <w:top w:val="none" w:sz="0" w:space="0" w:color="auto"/>
        <w:left w:val="none" w:sz="0" w:space="0" w:color="auto"/>
        <w:bottom w:val="none" w:sz="0" w:space="0" w:color="auto"/>
        <w:right w:val="none" w:sz="0" w:space="0" w:color="auto"/>
      </w:divBdr>
    </w:div>
    <w:div w:id="877354714">
      <w:bodyDiv w:val="1"/>
      <w:marLeft w:val="0"/>
      <w:marRight w:val="0"/>
      <w:marTop w:val="0"/>
      <w:marBottom w:val="0"/>
      <w:divBdr>
        <w:top w:val="none" w:sz="0" w:space="0" w:color="auto"/>
        <w:left w:val="none" w:sz="0" w:space="0" w:color="auto"/>
        <w:bottom w:val="none" w:sz="0" w:space="0" w:color="auto"/>
        <w:right w:val="none" w:sz="0" w:space="0" w:color="auto"/>
      </w:divBdr>
    </w:div>
    <w:div w:id="898636091">
      <w:bodyDiv w:val="1"/>
      <w:marLeft w:val="0"/>
      <w:marRight w:val="0"/>
      <w:marTop w:val="0"/>
      <w:marBottom w:val="0"/>
      <w:divBdr>
        <w:top w:val="none" w:sz="0" w:space="0" w:color="auto"/>
        <w:left w:val="none" w:sz="0" w:space="0" w:color="auto"/>
        <w:bottom w:val="none" w:sz="0" w:space="0" w:color="auto"/>
        <w:right w:val="none" w:sz="0" w:space="0" w:color="auto"/>
      </w:divBdr>
    </w:div>
    <w:div w:id="913054931">
      <w:bodyDiv w:val="1"/>
      <w:marLeft w:val="0"/>
      <w:marRight w:val="0"/>
      <w:marTop w:val="0"/>
      <w:marBottom w:val="0"/>
      <w:divBdr>
        <w:top w:val="none" w:sz="0" w:space="0" w:color="auto"/>
        <w:left w:val="none" w:sz="0" w:space="0" w:color="auto"/>
        <w:bottom w:val="none" w:sz="0" w:space="0" w:color="auto"/>
        <w:right w:val="none" w:sz="0" w:space="0" w:color="auto"/>
      </w:divBdr>
      <w:divsChild>
        <w:div w:id="21640300">
          <w:marLeft w:val="0"/>
          <w:marRight w:val="0"/>
          <w:marTop w:val="0"/>
          <w:marBottom w:val="0"/>
          <w:divBdr>
            <w:top w:val="none" w:sz="0" w:space="0" w:color="auto"/>
            <w:left w:val="none" w:sz="0" w:space="0" w:color="auto"/>
            <w:bottom w:val="none" w:sz="0" w:space="0" w:color="auto"/>
            <w:right w:val="none" w:sz="0" w:space="0" w:color="auto"/>
          </w:divBdr>
          <w:divsChild>
            <w:div w:id="1391685149">
              <w:marLeft w:val="0"/>
              <w:marRight w:val="0"/>
              <w:marTop w:val="0"/>
              <w:marBottom w:val="0"/>
              <w:divBdr>
                <w:top w:val="none" w:sz="0" w:space="0" w:color="auto"/>
                <w:left w:val="none" w:sz="0" w:space="0" w:color="auto"/>
                <w:bottom w:val="none" w:sz="0" w:space="0" w:color="auto"/>
                <w:right w:val="none" w:sz="0" w:space="0" w:color="auto"/>
              </w:divBdr>
              <w:divsChild>
                <w:div w:id="2040231990">
                  <w:marLeft w:val="0"/>
                  <w:marRight w:val="0"/>
                  <w:marTop w:val="0"/>
                  <w:marBottom w:val="0"/>
                  <w:divBdr>
                    <w:top w:val="none" w:sz="0" w:space="0" w:color="auto"/>
                    <w:left w:val="none" w:sz="0" w:space="0" w:color="auto"/>
                    <w:bottom w:val="none" w:sz="0" w:space="0" w:color="auto"/>
                    <w:right w:val="none" w:sz="0" w:space="0" w:color="auto"/>
                  </w:divBdr>
                  <w:divsChild>
                    <w:div w:id="1232732397">
                      <w:marLeft w:val="0"/>
                      <w:marRight w:val="0"/>
                      <w:marTop w:val="0"/>
                      <w:marBottom w:val="0"/>
                      <w:divBdr>
                        <w:top w:val="none" w:sz="0" w:space="0" w:color="auto"/>
                        <w:left w:val="none" w:sz="0" w:space="0" w:color="auto"/>
                        <w:bottom w:val="none" w:sz="0" w:space="0" w:color="auto"/>
                        <w:right w:val="none" w:sz="0" w:space="0" w:color="auto"/>
                      </w:divBdr>
                      <w:divsChild>
                        <w:div w:id="178812595">
                          <w:marLeft w:val="0"/>
                          <w:marRight w:val="0"/>
                          <w:marTop w:val="0"/>
                          <w:marBottom w:val="0"/>
                          <w:divBdr>
                            <w:top w:val="none" w:sz="0" w:space="0" w:color="auto"/>
                            <w:left w:val="none" w:sz="0" w:space="0" w:color="auto"/>
                            <w:bottom w:val="none" w:sz="0" w:space="0" w:color="auto"/>
                            <w:right w:val="none" w:sz="0" w:space="0" w:color="auto"/>
                          </w:divBdr>
                          <w:divsChild>
                            <w:div w:id="759644175">
                              <w:marLeft w:val="0"/>
                              <w:marRight w:val="0"/>
                              <w:marTop w:val="0"/>
                              <w:marBottom w:val="300"/>
                              <w:divBdr>
                                <w:top w:val="none" w:sz="0" w:space="0" w:color="auto"/>
                                <w:left w:val="none" w:sz="0" w:space="0" w:color="auto"/>
                                <w:bottom w:val="none" w:sz="0" w:space="0" w:color="auto"/>
                                <w:right w:val="none" w:sz="0" w:space="0" w:color="auto"/>
                              </w:divBdr>
                              <w:divsChild>
                                <w:div w:id="1898584957">
                                  <w:marLeft w:val="0"/>
                                  <w:marRight w:val="0"/>
                                  <w:marTop w:val="0"/>
                                  <w:marBottom w:val="0"/>
                                  <w:divBdr>
                                    <w:top w:val="none" w:sz="0" w:space="0" w:color="auto"/>
                                    <w:left w:val="none" w:sz="0" w:space="0" w:color="auto"/>
                                    <w:bottom w:val="none" w:sz="0" w:space="0" w:color="auto"/>
                                    <w:right w:val="none" w:sz="0" w:space="0" w:color="auto"/>
                                  </w:divBdr>
                                  <w:divsChild>
                                    <w:div w:id="423383102">
                                      <w:marLeft w:val="0"/>
                                      <w:marRight w:val="0"/>
                                      <w:marTop w:val="0"/>
                                      <w:marBottom w:val="0"/>
                                      <w:divBdr>
                                        <w:top w:val="none" w:sz="0" w:space="0" w:color="auto"/>
                                        <w:left w:val="none" w:sz="0" w:space="0" w:color="auto"/>
                                        <w:bottom w:val="none" w:sz="0" w:space="0" w:color="auto"/>
                                        <w:right w:val="none" w:sz="0" w:space="0" w:color="auto"/>
                                      </w:divBdr>
                                      <w:divsChild>
                                        <w:div w:id="1761873034">
                                          <w:marLeft w:val="0"/>
                                          <w:marRight w:val="0"/>
                                          <w:marTop w:val="0"/>
                                          <w:marBottom w:val="0"/>
                                          <w:divBdr>
                                            <w:top w:val="none" w:sz="0" w:space="0" w:color="auto"/>
                                            <w:left w:val="none" w:sz="0" w:space="0" w:color="auto"/>
                                            <w:bottom w:val="none" w:sz="0" w:space="0" w:color="auto"/>
                                            <w:right w:val="none" w:sz="0" w:space="0" w:color="auto"/>
                                          </w:divBdr>
                                          <w:divsChild>
                                            <w:div w:id="678966322">
                                              <w:marLeft w:val="0"/>
                                              <w:marRight w:val="0"/>
                                              <w:marTop w:val="0"/>
                                              <w:marBottom w:val="300"/>
                                              <w:divBdr>
                                                <w:top w:val="none" w:sz="0" w:space="0" w:color="auto"/>
                                                <w:left w:val="none" w:sz="0" w:space="0" w:color="auto"/>
                                                <w:bottom w:val="none" w:sz="0" w:space="0" w:color="auto"/>
                                                <w:right w:val="none" w:sz="0" w:space="0" w:color="auto"/>
                                              </w:divBdr>
                                              <w:divsChild>
                                                <w:div w:id="921984731">
                                                  <w:marLeft w:val="0"/>
                                                  <w:marRight w:val="0"/>
                                                  <w:marTop w:val="0"/>
                                                  <w:marBottom w:val="0"/>
                                                  <w:divBdr>
                                                    <w:top w:val="none" w:sz="0" w:space="0" w:color="auto"/>
                                                    <w:left w:val="none" w:sz="0" w:space="0" w:color="auto"/>
                                                    <w:bottom w:val="none" w:sz="0" w:space="0" w:color="auto"/>
                                                    <w:right w:val="none" w:sz="0" w:space="0" w:color="auto"/>
                                                  </w:divBdr>
                                                  <w:divsChild>
                                                    <w:div w:id="283316186">
                                                      <w:marLeft w:val="0"/>
                                                      <w:marRight w:val="0"/>
                                                      <w:marTop w:val="0"/>
                                                      <w:marBottom w:val="0"/>
                                                      <w:divBdr>
                                                        <w:top w:val="none" w:sz="0" w:space="0" w:color="auto"/>
                                                        <w:left w:val="none" w:sz="0" w:space="0" w:color="auto"/>
                                                        <w:bottom w:val="none" w:sz="0" w:space="0" w:color="auto"/>
                                                        <w:right w:val="none" w:sz="0" w:space="0" w:color="auto"/>
                                                      </w:divBdr>
                                                      <w:divsChild>
                                                        <w:div w:id="1406604466">
                                                          <w:marLeft w:val="0"/>
                                                          <w:marRight w:val="0"/>
                                                          <w:marTop w:val="0"/>
                                                          <w:marBottom w:val="0"/>
                                                          <w:divBdr>
                                                            <w:top w:val="none" w:sz="0" w:space="0" w:color="auto"/>
                                                            <w:left w:val="none" w:sz="0" w:space="0" w:color="auto"/>
                                                            <w:bottom w:val="none" w:sz="0" w:space="0" w:color="auto"/>
                                                            <w:right w:val="none" w:sz="0" w:space="0" w:color="auto"/>
                                                          </w:divBdr>
                                                          <w:divsChild>
                                                            <w:div w:id="12170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9237652">
      <w:bodyDiv w:val="1"/>
      <w:marLeft w:val="0"/>
      <w:marRight w:val="0"/>
      <w:marTop w:val="0"/>
      <w:marBottom w:val="0"/>
      <w:divBdr>
        <w:top w:val="none" w:sz="0" w:space="0" w:color="auto"/>
        <w:left w:val="none" w:sz="0" w:space="0" w:color="auto"/>
        <w:bottom w:val="none" w:sz="0" w:space="0" w:color="auto"/>
        <w:right w:val="none" w:sz="0" w:space="0" w:color="auto"/>
      </w:divBdr>
    </w:div>
    <w:div w:id="946692484">
      <w:bodyDiv w:val="1"/>
      <w:marLeft w:val="0"/>
      <w:marRight w:val="0"/>
      <w:marTop w:val="0"/>
      <w:marBottom w:val="0"/>
      <w:divBdr>
        <w:top w:val="none" w:sz="0" w:space="0" w:color="auto"/>
        <w:left w:val="none" w:sz="0" w:space="0" w:color="auto"/>
        <w:bottom w:val="none" w:sz="0" w:space="0" w:color="auto"/>
        <w:right w:val="none" w:sz="0" w:space="0" w:color="auto"/>
      </w:divBdr>
    </w:div>
    <w:div w:id="951480264">
      <w:bodyDiv w:val="1"/>
      <w:marLeft w:val="0"/>
      <w:marRight w:val="0"/>
      <w:marTop w:val="0"/>
      <w:marBottom w:val="0"/>
      <w:divBdr>
        <w:top w:val="none" w:sz="0" w:space="0" w:color="auto"/>
        <w:left w:val="none" w:sz="0" w:space="0" w:color="auto"/>
        <w:bottom w:val="none" w:sz="0" w:space="0" w:color="auto"/>
        <w:right w:val="none" w:sz="0" w:space="0" w:color="auto"/>
      </w:divBdr>
    </w:div>
    <w:div w:id="979531157">
      <w:bodyDiv w:val="1"/>
      <w:marLeft w:val="0"/>
      <w:marRight w:val="0"/>
      <w:marTop w:val="0"/>
      <w:marBottom w:val="0"/>
      <w:divBdr>
        <w:top w:val="none" w:sz="0" w:space="0" w:color="auto"/>
        <w:left w:val="none" w:sz="0" w:space="0" w:color="auto"/>
        <w:bottom w:val="none" w:sz="0" w:space="0" w:color="auto"/>
        <w:right w:val="none" w:sz="0" w:space="0" w:color="auto"/>
      </w:divBdr>
      <w:divsChild>
        <w:div w:id="906305006">
          <w:marLeft w:val="0"/>
          <w:marRight w:val="0"/>
          <w:marTop w:val="0"/>
          <w:marBottom w:val="0"/>
          <w:divBdr>
            <w:top w:val="none" w:sz="0" w:space="0" w:color="auto"/>
            <w:left w:val="none" w:sz="0" w:space="0" w:color="auto"/>
            <w:bottom w:val="none" w:sz="0" w:space="0" w:color="auto"/>
            <w:right w:val="none" w:sz="0" w:space="0" w:color="auto"/>
          </w:divBdr>
          <w:divsChild>
            <w:div w:id="1669602341">
              <w:marLeft w:val="0"/>
              <w:marRight w:val="0"/>
              <w:marTop w:val="0"/>
              <w:marBottom w:val="0"/>
              <w:divBdr>
                <w:top w:val="none" w:sz="0" w:space="0" w:color="auto"/>
                <w:left w:val="none" w:sz="0" w:space="0" w:color="auto"/>
                <w:bottom w:val="none" w:sz="0" w:space="0" w:color="auto"/>
                <w:right w:val="none" w:sz="0" w:space="0" w:color="auto"/>
              </w:divBdr>
              <w:divsChild>
                <w:div w:id="1995135208">
                  <w:marLeft w:val="0"/>
                  <w:marRight w:val="0"/>
                  <w:marTop w:val="0"/>
                  <w:marBottom w:val="0"/>
                  <w:divBdr>
                    <w:top w:val="none" w:sz="0" w:space="0" w:color="auto"/>
                    <w:left w:val="none" w:sz="0" w:space="0" w:color="auto"/>
                    <w:bottom w:val="none" w:sz="0" w:space="0" w:color="auto"/>
                    <w:right w:val="none" w:sz="0" w:space="0" w:color="auto"/>
                  </w:divBdr>
                  <w:divsChild>
                    <w:div w:id="110511936">
                      <w:marLeft w:val="0"/>
                      <w:marRight w:val="0"/>
                      <w:marTop w:val="0"/>
                      <w:marBottom w:val="0"/>
                      <w:divBdr>
                        <w:top w:val="none" w:sz="0" w:space="0" w:color="auto"/>
                        <w:left w:val="none" w:sz="0" w:space="0" w:color="auto"/>
                        <w:bottom w:val="none" w:sz="0" w:space="0" w:color="auto"/>
                        <w:right w:val="none" w:sz="0" w:space="0" w:color="auto"/>
                      </w:divBdr>
                      <w:divsChild>
                        <w:div w:id="1926110393">
                          <w:marLeft w:val="0"/>
                          <w:marRight w:val="0"/>
                          <w:marTop w:val="0"/>
                          <w:marBottom w:val="0"/>
                          <w:divBdr>
                            <w:top w:val="none" w:sz="0" w:space="0" w:color="auto"/>
                            <w:left w:val="none" w:sz="0" w:space="0" w:color="auto"/>
                            <w:bottom w:val="none" w:sz="0" w:space="0" w:color="auto"/>
                            <w:right w:val="none" w:sz="0" w:space="0" w:color="auto"/>
                          </w:divBdr>
                          <w:divsChild>
                            <w:div w:id="95177136">
                              <w:marLeft w:val="0"/>
                              <w:marRight w:val="0"/>
                              <w:marTop w:val="0"/>
                              <w:marBottom w:val="0"/>
                              <w:divBdr>
                                <w:top w:val="none" w:sz="0" w:space="0" w:color="auto"/>
                                <w:left w:val="none" w:sz="0" w:space="0" w:color="auto"/>
                                <w:bottom w:val="none" w:sz="0" w:space="0" w:color="auto"/>
                                <w:right w:val="none" w:sz="0" w:space="0" w:color="auto"/>
                              </w:divBdr>
                              <w:divsChild>
                                <w:div w:id="892811959">
                                  <w:marLeft w:val="0"/>
                                  <w:marRight w:val="0"/>
                                  <w:marTop w:val="0"/>
                                  <w:marBottom w:val="0"/>
                                  <w:divBdr>
                                    <w:top w:val="none" w:sz="0" w:space="0" w:color="auto"/>
                                    <w:left w:val="none" w:sz="0" w:space="0" w:color="auto"/>
                                    <w:bottom w:val="none" w:sz="0" w:space="0" w:color="auto"/>
                                    <w:right w:val="none" w:sz="0" w:space="0" w:color="auto"/>
                                  </w:divBdr>
                                  <w:divsChild>
                                    <w:div w:id="268052884">
                                      <w:marLeft w:val="0"/>
                                      <w:marRight w:val="0"/>
                                      <w:marTop w:val="0"/>
                                      <w:marBottom w:val="0"/>
                                      <w:divBdr>
                                        <w:top w:val="none" w:sz="0" w:space="0" w:color="auto"/>
                                        <w:left w:val="none" w:sz="0" w:space="0" w:color="auto"/>
                                        <w:bottom w:val="none" w:sz="0" w:space="0" w:color="auto"/>
                                        <w:right w:val="none" w:sz="0" w:space="0" w:color="auto"/>
                                      </w:divBdr>
                                      <w:divsChild>
                                        <w:div w:id="731851769">
                                          <w:marLeft w:val="0"/>
                                          <w:marRight w:val="0"/>
                                          <w:marTop w:val="0"/>
                                          <w:marBottom w:val="0"/>
                                          <w:divBdr>
                                            <w:top w:val="none" w:sz="0" w:space="0" w:color="auto"/>
                                            <w:left w:val="none" w:sz="0" w:space="0" w:color="auto"/>
                                            <w:bottom w:val="none" w:sz="0" w:space="0" w:color="auto"/>
                                            <w:right w:val="none" w:sz="0" w:space="0" w:color="auto"/>
                                          </w:divBdr>
                                          <w:divsChild>
                                            <w:div w:id="940337624">
                                              <w:marLeft w:val="0"/>
                                              <w:marRight w:val="0"/>
                                              <w:marTop w:val="0"/>
                                              <w:marBottom w:val="0"/>
                                              <w:divBdr>
                                                <w:top w:val="none" w:sz="0" w:space="0" w:color="auto"/>
                                                <w:left w:val="none" w:sz="0" w:space="0" w:color="auto"/>
                                                <w:bottom w:val="none" w:sz="0" w:space="0" w:color="auto"/>
                                                <w:right w:val="none" w:sz="0" w:space="0" w:color="auto"/>
                                              </w:divBdr>
                                              <w:divsChild>
                                                <w:div w:id="559442095">
                                                  <w:marLeft w:val="0"/>
                                                  <w:marRight w:val="0"/>
                                                  <w:marTop w:val="100"/>
                                                  <w:marBottom w:val="100"/>
                                                  <w:divBdr>
                                                    <w:top w:val="none" w:sz="0" w:space="0" w:color="auto"/>
                                                    <w:left w:val="none" w:sz="0" w:space="0" w:color="auto"/>
                                                    <w:bottom w:val="none" w:sz="0" w:space="0" w:color="auto"/>
                                                    <w:right w:val="none" w:sz="0" w:space="0" w:color="auto"/>
                                                  </w:divBdr>
                                                  <w:divsChild>
                                                    <w:div w:id="1240599887">
                                                      <w:marLeft w:val="0"/>
                                                      <w:marRight w:val="0"/>
                                                      <w:marTop w:val="0"/>
                                                      <w:marBottom w:val="0"/>
                                                      <w:divBdr>
                                                        <w:top w:val="none" w:sz="0" w:space="0" w:color="auto"/>
                                                        <w:left w:val="none" w:sz="0" w:space="0" w:color="auto"/>
                                                        <w:bottom w:val="none" w:sz="0" w:space="0" w:color="auto"/>
                                                        <w:right w:val="none" w:sz="0" w:space="0" w:color="auto"/>
                                                      </w:divBdr>
                                                      <w:divsChild>
                                                        <w:div w:id="1978299862">
                                                          <w:marLeft w:val="0"/>
                                                          <w:marRight w:val="0"/>
                                                          <w:marTop w:val="0"/>
                                                          <w:marBottom w:val="150"/>
                                                          <w:divBdr>
                                                            <w:top w:val="none" w:sz="0" w:space="0" w:color="auto"/>
                                                            <w:left w:val="none" w:sz="0" w:space="0" w:color="auto"/>
                                                            <w:bottom w:val="single" w:sz="6" w:space="0" w:color="CCCCCC"/>
                                                            <w:right w:val="none" w:sz="0" w:space="0" w:color="auto"/>
                                                          </w:divBdr>
                                                          <w:divsChild>
                                                            <w:div w:id="1319840227">
                                                              <w:marLeft w:val="0"/>
                                                              <w:marRight w:val="0"/>
                                                              <w:marTop w:val="0"/>
                                                              <w:marBottom w:val="0"/>
                                                              <w:divBdr>
                                                                <w:top w:val="none" w:sz="0" w:space="0" w:color="auto"/>
                                                                <w:left w:val="none" w:sz="0" w:space="0" w:color="auto"/>
                                                                <w:bottom w:val="none" w:sz="0" w:space="0" w:color="auto"/>
                                                                <w:right w:val="none" w:sz="0" w:space="0" w:color="auto"/>
                                                              </w:divBdr>
                                                              <w:divsChild>
                                                                <w:div w:id="1207916365">
                                                                  <w:marLeft w:val="10"/>
                                                                  <w:marRight w:val="10"/>
                                                                  <w:marTop w:val="0"/>
                                                                  <w:marBottom w:val="0"/>
                                                                  <w:divBdr>
                                                                    <w:top w:val="none" w:sz="0" w:space="0" w:color="auto"/>
                                                                    <w:left w:val="none" w:sz="0" w:space="0" w:color="auto"/>
                                                                    <w:bottom w:val="none" w:sz="0" w:space="0" w:color="auto"/>
                                                                    <w:right w:val="none" w:sz="0" w:space="0" w:color="auto"/>
                                                                  </w:divBdr>
                                                                  <w:divsChild>
                                                                    <w:div w:id="1482117234">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04088898">
      <w:bodyDiv w:val="1"/>
      <w:marLeft w:val="0"/>
      <w:marRight w:val="0"/>
      <w:marTop w:val="0"/>
      <w:marBottom w:val="0"/>
      <w:divBdr>
        <w:top w:val="none" w:sz="0" w:space="0" w:color="auto"/>
        <w:left w:val="none" w:sz="0" w:space="0" w:color="auto"/>
        <w:bottom w:val="none" w:sz="0" w:space="0" w:color="auto"/>
        <w:right w:val="none" w:sz="0" w:space="0" w:color="auto"/>
      </w:divBdr>
    </w:div>
    <w:div w:id="1030449122">
      <w:bodyDiv w:val="1"/>
      <w:marLeft w:val="0"/>
      <w:marRight w:val="0"/>
      <w:marTop w:val="0"/>
      <w:marBottom w:val="0"/>
      <w:divBdr>
        <w:top w:val="none" w:sz="0" w:space="0" w:color="auto"/>
        <w:left w:val="none" w:sz="0" w:space="0" w:color="auto"/>
        <w:bottom w:val="none" w:sz="0" w:space="0" w:color="auto"/>
        <w:right w:val="none" w:sz="0" w:space="0" w:color="auto"/>
      </w:divBdr>
    </w:div>
    <w:div w:id="1045258892">
      <w:bodyDiv w:val="1"/>
      <w:marLeft w:val="0"/>
      <w:marRight w:val="0"/>
      <w:marTop w:val="0"/>
      <w:marBottom w:val="0"/>
      <w:divBdr>
        <w:top w:val="none" w:sz="0" w:space="0" w:color="auto"/>
        <w:left w:val="none" w:sz="0" w:space="0" w:color="auto"/>
        <w:bottom w:val="none" w:sz="0" w:space="0" w:color="auto"/>
        <w:right w:val="none" w:sz="0" w:space="0" w:color="auto"/>
      </w:divBdr>
      <w:divsChild>
        <w:div w:id="761952459">
          <w:marLeft w:val="0"/>
          <w:marRight w:val="0"/>
          <w:marTop w:val="0"/>
          <w:marBottom w:val="0"/>
          <w:divBdr>
            <w:top w:val="none" w:sz="0" w:space="0" w:color="auto"/>
            <w:left w:val="none" w:sz="0" w:space="0" w:color="auto"/>
            <w:bottom w:val="none" w:sz="0" w:space="0" w:color="auto"/>
            <w:right w:val="none" w:sz="0" w:space="0" w:color="auto"/>
          </w:divBdr>
          <w:divsChild>
            <w:div w:id="1014309588">
              <w:marLeft w:val="0"/>
              <w:marRight w:val="0"/>
              <w:marTop w:val="0"/>
              <w:marBottom w:val="0"/>
              <w:divBdr>
                <w:top w:val="none" w:sz="0" w:space="0" w:color="auto"/>
                <w:left w:val="none" w:sz="0" w:space="0" w:color="auto"/>
                <w:bottom w:val="none" w:sz="0" w:space="0" w:color="auto"/>
                <w:right w:val="none" w:sz="0" w:space="0" w:color="auto"/>
              </w:divBdr>
              <w:divsChild>
                <w:div w:id="1883983068">
                  <w:marLeft w:val="0"/>
                  <w:marRight w:val="0"/>
                  <w:marTop w:val="0"/>
                  <w:marBottom w:val="0"/>
                  <w:divBdr>
                    <w:top w:val="none" w:sz="0" w:space="0" w:color="auto"/>
                    <w:left w:val="none" w:sz="0" w:space="0" w:color="auto"/>
                    <w:bottom w:val="none" w:sz="0" w:space="0" w:color="auto"/>
                    <w:right w:val="none" w:sz="0" w:space="0" w:color="auto"/>
                  </w:divBdr>
                  <w:divsChild>
                    <w:div w:id="635113189">
                      <w:marLeft w:val="0"/>
                      <w:marRight w:val="0"/>
                      <w:marTop w:val="0"/>
                      <w:marBottom w:val="0"/>
                      <w:divBdr>
                        <w:top w:val="none" w:sz="0" w:space="0" w:color="auto"/>
                        <w:left w:val="none" w:sz="0" w:space="0" w:color="auto"/>
                        <w:bottom w:val="none" w:sz="0" w:space="0" w:color="auto"/>
                        <w:right w:val="none" w:sz="0" w:space="0" w:color="auto"/>
                      </w:divBdr>
                      <w:divsChild>
                        <w:div w:id="1752651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081947468">
      <w:bodyDiv w:val="1"/>
      <w:marLeft w:val="0"/>
      <w:marRight w:val="0"/>
      <w:marTop w:val="0"/>
      <w:marBottom w:val="0"/>
      <w:divBdr>
        <w:top w:val="none" w:sz="0" w:space="0" w:color="auto"/>
        <w:left w:val="none" w:sz="0" w:space="0" w:color="auto"/>
        <w:bottom w:val="none" w:sz="0" w:space="0" w:color="auto"/>
        <w:right w:val="none" w:sz="0" w:space="0" w:color="auto"/>
      </w:divBdr>
      <w:divsChild>
        <w:div w:id="1536236174">
          <w:marLeft w:val="0"/>
          <w:marRight w:val="0"/>
          <w:marTop w:val="0"/>
          <w:marBottom w:val="0"/>
          <w:divBdr>
            <w:top w:val="none" w:sz="0" w:space="0" w:color="auto"/>
            <w:left w:val="none" w:sz="0" w:space="0" w:color="auto"/>
            <w:bottom w:val="none" w:sz="0" w:space="0" w:color="auto"/>
            <w:right w:val="none" w:sz="0" w:space="0" w:color="auto"/>
          </w:divBdr>
          <w:divsChild>
            <w:div w:id="226501920">
              <w:marLeft w:val="0"/>
              <w:marRight w:val="0"/>
              <w:marTop w:val="0"/>
              <w:marBottom w:val="0"/>
              <w:divBdr>
                <w:top w:val="none" w:sz="0" w:space="0" w:color="auto"/>
                <w:left w:val="none" w:sz="0" w:space="0" w:color="auto"/>
                <w:bottom w:val="none" w:sz="0" w:space="0" w:color="auto"/>
                <w:right w:val="none" w:sz="0" w:space="0" w:color="auto"/>
              </w:divBdr>
              <w:divsChild>
                <w:div w:id="1376542790">
                  <w:marLeft w:val="0"/>
                  <w:marRight w:val="0"/>
                  <w:marTop w:val="0"/>
                  <w:marBottom w:val="0"/>
                  <w:divBdr>
                    <w:top w:val="none" w:sz="0" w:space="0" w:color="auto"/>
                    <w:left w:val="none" w:sz="0" w:space="0" w:color="auto"/>
                    <w:bottom w:val="none" w:sz="0" w:space="0" w:color="auto"/>
                    <w:right w:val="none" w:sz="0" w:space="0" w:color="auto"/>
                  </w:divBdr>
                  <w:divsChild>
                    <w:div w:id="163382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974729">
      <w:bodyDiv w:val="1"/>
      <w:marLeft w:val="0"/>
      <w:marRight w:val="0"/>
      <w:marTop w:val="0"/>
      <w:marBottom w:val="0"/>
      <w:divBdr>
        <w:top w:val="none" w:sz="0" w:space="0" w:color="auto"/>
        <w:left w:val="none" w:sz="0" w:space="0" w:color="auto"/>
        <w:bottom w:val="none" w:sz="0" w:space="0" w:color="auto"/>
        <w:right w:val="none" w:sz="0" w:space="0" w:color="auto"/>
      </w:divBdr>
    </w:div>
    <w:div w:id="1167937479">
      <w:bodyDiv w:val="1"/>
      <w:marLeft w:val="0"/>
      <w:marRight w:val="0"/>
      <w:marTop w:val="0"/>
      <w:marBottom w:val="0"/>
      <w:divBdr>
        <w:top w:val="none" w:sz="0" w:space="0" w:color="auto"/>
        <w:left w:val="none" w:sz="0" w:space="0" w:color="auto"/>
        <w:bottom w:val="none" w:sz="0" w:space="0" w:color="auto"/>
        <w:right w:val="none" w:sz="0" w:space="0" w:color="auto"/>
      </w:divBdr>
    </w:div>
    <w:div w:id="1185441296">
      <w:bodyDiv w:val="1"/>
      <w:marLeft w:val="0"/>
      <w:marRight w:val="0"/>
      <w:marTop w:val="0"/>
      <w:marBottom w:val="0"/>
      <w:divBdr>
        <w:top w:val="none" w:sz="0" w:space="0" w:color="auto"/>
        <w:left w:val="none" w:sz="0" w:space="0" w:color="auto"/>
        <w:bottom w:val="none" w:sz="0" w:space="0" w:color="auto"/>
        <w:right w:val="none" w:sz="0" w:space="0" w:color="auto"/>
      </w:divBdr>
    </w:div>
    <w:div w:id="1198353257">
      <w:bodyDiv w:val="1"/>
      <w:marLeft w:val="0"/>
      <w:marRight w:val="0"/>
      <w:marTop w:val="0"/>
      <w:marBottom w:val="0"/>
      <w:divBdr>
        <w:top w:val="none" w:sz="0" w:space="0" w:color="auto"/>
        <w:left w:val="none" w:sz="0" w:space="0" w:color="auto"/>
        <w:bottom w:val="none" w:sz="0" w:space="0" w:color="auto"/>
        <w:right w:val="none" w:sz="0" w:space="0" w:color="auto"/>
      </w:divBdr>
      <w:divsChild>
        <w:div w:id="38478635">
          <w:marLeft w:val="0"/>
          <w:marRight w:val="0"/>
          <w:marTop w:val="0"/>
          <w:marBottom w:val="0"/>
          <w:divBdr>
            <w:top w:val="none" w:sz="0" w:space="0" w:color="auto"/>
            <w:left w:val="none" w:sz="0" w:space="0" w:color="auto"/>
            <w:bottom w:val="none" w:sz="0" w:space="0" w:color="auto"/>
            <w:right w:val="none" w:sz="0" w:space="0" w:color="auto"/>
          </w:divBdr>
          <w:divsChild>
            <w:div w:id="1620526885">
              <w:marLeft w:val="0"/>
              <w:marRight w:val="0"/>
              <w:marTop w:val="0"/>
              <w:marBottom w:val="0"/>
              <w:divBdr>
                <w:top w:val="none" w:sz="0" w:space="0" w:color="auto"/>
                <w:left w:val="none" w:sz="0" w:space="0" w:color="auto"/>
                <w:bottom w:val="none" w:sz="0" w:space="0" w:color="auto"/>
                <w:right w:val="none" w:sz="0" w:space="0" w:color="auto"/>
              </w:divBdr>
              <w:divsChild>
                <w:div w:id="177813063">
                  <w:marLeft w:val="0"/>
                  <w:marRight w:val="0"/>
                  <w:marTop w:val="0"/>
                  <w:marBottom w:val="0"/>
                  <w:divBdr>
                    <w:top w:val="none" w:sz="0" w:space="0" w:color="auto"/>
                    <w:left w:val="none" w:sz="0" w:space="0" w:color="auto"/>
                    <w:bottom w:val="none" w:sz="0" w:space="0" w:color="auto"/>
                    <w:right w:val="none" w:sz="0" w:space="0" w:color="auto"/>
                  </w:divBdr>
                  <w:divsChild>
                    <w:div w:id="20803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853421">
      <w:bodyDiv w:val="1"/>
      <w:marLeft w:val="0"/>
      <w:marRight w:val="0"/>
      <w:marTop w:val="0"/>
      <w:marBottom w:val="0"/>
      <w:divBdr>
        <w:top w:val="none" w:sz="0" w:space="0" w:color="auto"/>
        <w:left w:val="none" w:sz="0" w:space="0" w:color="auto"/>
        <w:bottom w:val="none" w:sz="0" w:space="0" w:color="auto"/>
        <w:right w:val="none" w:sz="0" w:space="0" w:color="auto"/>
      </w:divBdr>
    </w:div>
    <w:div w:id="1295794488">
      <w:bodyDiv w:val="1"/>
      <w:marLeft w:val="0"/>
      <w:marRight w:val="0"/>
      <w:marTop w:val="0"/>
      <w:marBottom w:val="0"/>
      <w:divBdr>
        <w:top w:val="none" w:sz="0" w:space="0" w:color="auto"/>
        <w:left w:val="none" w:sz="0" w:space="0" w:color="auto"/>
        <w:bottom w:val="none" w:sz="0" w:space="0" w:color="auto"/>
        <w:right w:val="none" w:sz="0" w:space="0" w:color="auto"/>
      </w:divBdr>
    </w:div>
    <w:div w:id="1332685058">
      <w:bodyDiv w:val="1"/>
      <w:marLeft w:val="0"/>
      <w:marRight w:val="0"/>
      <w:marTop w:val="0"/>
      <w:marBottom w:val="0"/>
      <w:divBdr>
        <w:top w:val="none" w:sz="0" w:space="0" w:color="auto"/>
        <w:left w:val="none" w:sz="0" w:space="0" w:color="auto"/>
        <w:bottom w:val="none" w:sz="0" w:space="0" w:color="auto"/>
        <w:right w:val="none" w:sz="0" w:space="0" w:color="auto"/>
      </w:divBdr>
    </w:div>
    <w:div w:id="1353142898">
      <w:bodyDiv w:val="1"/>
      <w:marLeft w:val="0"/>
      <w:marRight w:val="0"/>
      <w:marTop w:val="0"/>
      <w:marBottom w:val="0"/>
      <w:divBdr>
        <w:top w:val="none" w:sz="0" w:space="0" w:color="auto"/>
        <w:left w:val="none" w:sz="0" w:space="0" w:color="auto"/>
        <w:bottom w:val="none" w:sz="0" w:space="0" w:color="auto"/>
        <w:right w:val="none" w:sz="0" w:space="0" w:color="auto"/>
      </w:divBdr>
    </w:div>
    <w:div w:id="1366715200">
      <w:bodyDiv w:val="1"/>
      <w:marLeft w:val="0"/>
      <w:marRight w:val="0"/>
      <w:marTop w:val="0"/>
      <w:marBottom w:val="0"/>
      <w:divBdr>
        <w:top w:val="none" w:sz="0" w:space="0" w:color="auto"/>
        <w:left w:val="none" w:sz="0" w:space="0" w:color="auto"/>
        <w:bottom w:val="none" w:sz="0" w:space="0" w:color="auto"/>
        <w:right w:val="none" w:sz="0" w:space="0" w:color="auto"/>
      </w:divBdr>
    </w:div>
    <w:div w:id="1424296491">
      <w:bodyDiv w:val="1"/>
      <w:marLeft w:val="0"/>
      <w:marRight w:val="0"/>
      <w:marTop w:val="0"/>
      <w:marBottom w:val="0"/>
      <w:divBdr>
        <w:top w:val="none" w:sz="0" w:space="0" w:color="auto"/>
        <w:left w:val="none" w:sz="0" w:space="0" w:color="auto"/>
        <w:bottom w:val="none" w:sz="0" w:space="0" w:color="auto"/>
        <w:right w:val="none" w:sz="0" w:space="0" w:color="auto"/>
      </w:divBdr>
    </w:div>
    <w:div w:id="1443912073">
      <w:bodyDiv w:val="1"/>
      <w:marLeft w:val="0"/>
      <w:marRight w:val="0"/>
      <w:marTop w:val="0"/>
      <w:marBottom w:val="0"/>
      <w:divBdr>
        <w:top w:val="none" w:sz="0" w:space="0" w:color="auto"/>
        <w:left w:val="none" w:sz="0" w:space="0" w:color="auto"/>
        <w:bottom w:val="none" w:sz="0" w:space="0" w:color="auto"/>
        <w:right w:val="none" w:sz="0" w:space="0" w:color="auto"/>
      </w:divBdr>
    </w:div>
    <w:div w:id="1486044316">
      <w:bodyDiv w:val="1"/>
      <w:marLeft w:val="0"/>
      <w:marRight w:val="0"/>
      <w:marTop w:val="0"/>
      <w:marBottom w:val="0"/>
      <w:divBdr>
        <w:top w:val="none" w:sz="0" w:space="0" w:color="auto"/>
        <w:left w:val="none" w:sz="0" w:space="0" w:color="auto"/>
        <w:bottom w:val="none" w:sz="0" w:space="0" w:color="auto"/>
        <w:right w:val="none" w:sz="0" w:space="0" w:color="auto"/>
      </w:divBdr>
    </w:div>
    <w:div w:id="1492255414">
      <w:bodyDiv w:val="1"/>
      <w:marLeft w:val="0"/>
      <w:marRight w:val="0"/>
      <w:marTop w:val="0"/>
      <w:marBottom w:val="0"/>
      <w:divBdr>
        <w:top w:val="none" w:sz="0" w:space="0" w:color="auto"/>
        <w:left w:val="none" w:sz="0" w:space="0" w:color="auto"/>
        <w:bottom w:val="none" w:sz="0" w:space="0" w:color="auto"/>
        <w:right w:val="none" w:sz="0" w:space="0" w:color="auto"/>
      </w:divBdr>
      <w:divsChild>
        <w:div w:id="112796702">
          <w:marLeft w:val="0"/>
          <w:marRight w:val="0"/>
          <w:marTop w:val="0"/>
          <w:marBottom w:val="0"/>
          <w:divBdr>
            <w:top w:val="none" w:sz="0" w:space="0" w:color="auto"/>
            <w:left w:val="none" w:sz="0" w:space="0" w:color="auto"/>
            <w:bottom w:val="none" w:sz="0" w:space="0" w:color="auto"/>
            <w:right w:val="none" w:sz="0" w:space="0" w:color="auto"/>
          </w:divBdr>
        </w:div>
        <w:div w:id="487064256">
          <w:marLeft w:val="0"/>
          <w:marRight w:val="0"/>
          <w:marTop w:val="0"/>
          <w:marBottom w:val="0"/>
          <w:divBdr>
            <w:top w:val="none" w:sz="0" w:space="0" w:color="auto"/>
            <w:left w:val="none" w:sz="0" w:space="0" w:color="auto"/>
            <w:bottom w:val="none" w:sz="0" w:space="0" w:color="auto"/>
            <w:right w:val="none" w:sz="0" w:space="0" w:color="auto"/>
          </w:divBdr>
        </w:div>
        <w:div w:id="661809065">
          <w:marLeft w:val="0"/>
          <w:marRight w:val="0"/>
          <w:marTop w:val="0"/>
          <w:marBottom w:val="0"/>
          <w:divBdr>
            <w:top w:val="none" w:sz="0" w:space="0" w:color="auto"/>
            <w:left w:val="none" w:sz="0" w:space="0" w:color="auto"/>
            <w:bottom w:val="none" w:sz="0" w:space="0" w:color="auto"/>
            <w:right w:val="none" w:sz="0" w:space="0" w:color="auto"/>
          </w:divBdr>
        </w:div>
        <w:div w:id="1159032260">
          <w:marLeft w:val="0"/>
          <w:marRight w:val="0"/>
          <w:marTop w:val="0"/>
          <w:marBottom w:val="0"/>
          <w:divBdr>
            <w:top w:val="none" w:sz="0" w:space="0" w:color="auto"/>
            <w:left w:val="none" w:sz="0" w:space="0" w:color="auto"/>
            <w:bottom w:val="none" w:sz="0" w:space="0" w:color="auto"/>
            <w:right w:val="none" w:sz="0" w:space="0" w:color="auto"/>
          </w:divBdr>
        </w:div>
      </w:divsChild>
    </w:div>
    <w:div w:id="1515536212">
      <w:bodyDiv w:val="1"/>
      <w:marLeft w:val="0"/>
      <w:marRight w:val="0"/>
      <w:marTop w:val="0"/>
      <w:marBottom w:val="0"/>
      <w:divBdr>
        <w:top w:val="none" w:sz="0" w:space="0" w:color="auto"/>
        <w:left w:val="none" w:sz="0" w:space="0" w:color="auto"/>
        <w:bottom w:val="none" w:sz="0" w:space="0" w:color="auto"/>
        <w:right w:val="none" w:sz="0" w:space="0" w:color="auto"/>
      </w:divBdr>
    </w:div>
    <w:div w:id="1553737584">
      <w:bodyDiv w:val="1"/>
      <w:marLeft w:val="0"/>
      <w:marRight w:val="0"/>
      <w:marTop w:val="0"/>
      <w:marBottom w:val="0"/>
      <w:divBdr>
        <w:top w:val="none" w:sz="0" w:space="0" w:color="auto"/>
        <w:left w:val="none" w:sz="0" w:space="0" w:color="auto"/>
        <w:bottom w:val="none" w:sz="0" w:space="0" w:color="auto"/>
        <w:right w:val="none" w:sz="0" w:space="0" w:color="auto"/>
      </w:divBdr>
    </w:div>
    <w:div w:id="1564176106">
      <w:bodyDiv w:val="1"/>
      <w:marLeft w:val="0"/>
      <w:marRight w:val="0"/>
      <w:marTop w:val="0"/>
      <w:marBottom w:val="0"/>
      <w:divBdr>
        <w:top w:val="none" w:sz="0" w:space="0" w:color="auto"/>
        <w:left w:val="none" w:sz="0" w:space="0" w:color="auto"/>
        <w:bottom w:val="none" w:sz="0" w:space="0" w:color="auto"/>
        <w:right w:val="none" w:sz="0" w:space="0" w:color="auto"/>
      </w:divBdr>
    </w:div>
    <w:div w:id="1627390152">
      <w:bodyDiv w:val="1"/>
      <w:marLeft w:val="0"/>
      <w:marRight w:val="0"/>
      <w:marTop w:val="0"/>
      <w:marBottom w:val="0"/>
      <w:divBdr>
        <w:top w:val="none" w:sz="0" w:space="0" w:color="auto"/>
        <w:left w:val="none" w:sz="0" w:space="0" w:color="auto"/>
        <w:bottom w:val="none" w:sz="0" w:space="0" w:color="auto"/>
        <w:right w:val="none" w:sz="0" w:space="0" w:color="auto"/>
      </w:divBdr>
    </w:div>
    <w:div w:id="1682974945">
      <w:bodyDiv w:val="1"/>
      <w:marLeft w:val="0"/>
      <w:marRight w:val="0"/>
      <w:marTop w:val="0"/>
      <w:marBottom w:val="0"/>
      <w:divBdr>
        <w:top w:val="none" w:sz="0" w:space="0" w:color="auto"/>
        <w:left w:val="none" w:sz="0" w:space="0" w:color="auto"/>
        <w:bottom w:val="none" w:sz="0" w:space="0" w:color="auto"/>
        <w:right w:val="none" w:sz="0" w:space="0" w:color="auto"/>
      </w:divBdr>
    </w:div>
    <w:div w:id="1704016283">
      <w:bodyDiv w:val="1"/>
      <w:marLeft w:val="0"/>
      <w:marRight w:val="0"/>
      <w:marTop w:val="0"/>
      <w:marBottom w:val="0"/>
      <w:divBdr>
        <w:top w:val="none" w:sz="0" w:space="0" w:color="auto"/>
        <w:left w:val="none" w:sz="0" w:space="0" w:color="auto"/>
        <w:bottom w:val="none" w:sz="0" w:space="0" w:color="auto"/>
        <w:right w:val="none" w:sz="0" w:space="0" w:color="auto"/>
      </w:divBdr>
      <w:divsChild>
        <w:div w:id="1214077527">
          <w:marLeft w:val="0"/>
          <w:marRight w:val="0"/>
          <w:marTop w:val="0"/>
          <w:marBottom w:val="0"/>
          <w:divBdr>
            <w:top w:val="none" w:sz="0" w:space="0" w:color="auto"/>
            <w:left w:val="none" w:sz="0" w:space="0" w:color="auto"/>
            <w:bottom w:val="none" w:sz="0" w:space="0" w:color="auto"/>
            <w:right w:val="none" w:sz="0" w:space="0" w:color="auto"/>
          </w:divBdr>
          <w:divsChild>
            <w:div w:id="732116410">
              <w:marLeft w:val="0"/>
              <w:marRight w:val="0"/>
              <w:marTop w:val="0"/>
              <w:marBottom w:val="0"/>
              <w:divBdr>
                <w:top w:val="none" w:sz="0" w:space="0" w:color="auto"/>
                <w:left w:val="none" w:sz="0" w:space="0" w:color="auto"/>
                <w:bottom w:val="none" w:sz="0" w:space="0" w:color="auto"/>
                <w:right w:val="none" w:sz="0" w:space="0" w:color="auto"/>
              </w:divBdr>
              <w:divsChild>
                <w:div w:id="1970814828">
                  <w:marLeft w:val="0"/>
                  <w:marRight w:val="0"/>
                  <w:marTop w:val="0"/>
                  <w:marBottom w:val="0"/>
                  <w:divBdr>
                    <w:top w:val="none" w:sz="0" w:space="0" w:color="auto"/>
                    <w:left w:val="none" w:sz="0" w:space="0" w:color="auto"/>
                    <w:bottom w:val="none" w:sz="0" w:space="0" w:color="auto"/>
                    <w:right w:val="none" w:sz="0" w:space="0" w:color="auto"/>
                  </w:divBdr>
                  <w:divsChild>
                    <w:div w:id="95656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827876">
      <w:bodyDiv w:val="1"/>
      <w:marLeft w:val="0"/>
      <w:marRight w:val="0"/>
      <w:marTop w:val="0"/>
      <w:marBottom w:val="0"/>
      <w:divBdr>
        <w:top w:val="none" w:sz="0" w:space="0" w:color="auto"/>
        <w:left w:val="none" w:sz="0" w:space="0" w:color="auto"/>
        <w:bottom w:val="none" w:sz="0" w:space="0" w:color="auto"/>
        <w:right w:val="none" w:sz="0" w:space="0" w:color="auto"/>
      </w:divBdr>
    </w:div>
    <w:div w:id="1772122014">
      <w:bodyDiv w:val="1"/>
      <w:marLeft w:val="0"/>
      <w:marRight w:val="0"/>
      <w:marTop w:val="0"/>
      <w:marBottom w:val="0"/>
      <w:divBdr>
        <w:top w:val="none" w:sz="0" w:space="0" w:color="auto"/>
        <w:left w:val="none" w:sz="0" w:space="0" w:color="auto"/>
        <w:bottom w:val="none" w:sz="0" w:space="0" w:color="auto"/>
        <w:right w:val="none" w:sz="0" w:space="0" w:color="auto"/>
      </w:divBdr>
    </w:div>
    <w:div w:id="1798185601">
      <w:bodyDiv w:val="1"/>
      <w:marLeft w:val="0"/>
      <w:marRight w:val="0"/>
      <w:marTop w:val="0"/>
      <w:marBottom w:val="0"/>
      <w:divBdr>
        <w:top w:val="none" w:sz="0" w:space="0" w:color="auto"/>
        <w:left w:val="none" w:sz="0" w:space="0" w:color="auto"/>
        <w:bottom w:val="none" w:sz="0" w:space="0" w:color="auto"/>
        <w:right w:val="none" w:sz="0" w:space="0" w:color="auto"/>
      </w:divBdr>
    </w:div>
    <w:div w:id="1810201117">
      <w:bodyDiv w:val="1"/>
      <w:marLeft w:val="0"/>
      <w:marRight w:val="0"/>
      <w:marTop w:val="0"/>
      <w:marBottom w:val="0"/>
      <w:divBdr>
        <w:top w:val="none" w:sz="0" w:space="0" w:color="auto"/>
        <w:left w:val="none" w:sz="0" w:space="0" w:color="auto"/>
        <w:bottom w:val="none" w:sz="0" w:space="0" w:color="auto"/>
        <w:right w:val="none" w:sz="0" w:space="0" w:color="auto"/>
      </w:divBdr>
    </w:div>
    <w:div w:id="1820725890">
      <w:bodyDiv w:val="1"/>
      <w:marLeft w:val="0"/>
      <w:marRight w:val="0"/>
      <w:marTop w:val="0"/>
      <w:marBottom w:val="0"/>
      <w:divBdr>
        <w:top w:val="none" w:sz="0" w:space="0" w:color="auto"/>
        <w:left w:val="none" w:sz="0" w:space="0" w:color="auto"/>
        <w:bottom w:val="none" w:sz="0" w:space="0" w:color="auto"/>
        <w:right w:val="none" w:sz="0" w:space="0" w:color="auto"/>
      </w:divBdr>
      <w:divsChild>
        <w:div w:id="1271552262">
          <w:marLeft w:val="0"/>
          <w:marRight w:val="0"/>
          <w:marTop w:val="0"/>
          <w:marBottom w:val="0"/>
          <w:divBdr>
            <w:top w:val="none" w:sz="0" w:space="0" w:color="auto"/>
            <w:left w:val="none" w:sz="0" w:space="0" w:color="auto"/>
            <w:bottom w:val="none" w:sz="0" w:space="0" w:color="auto"/>
            <w:right w:val="none" w:sz="0" w:space="0" w:color="auto"/>
          </w:divBdr>
          <w:divsChild>
            <w:div w:id="687945140">
              <w:marLeft w:val="0"/>
              <w:marRight w:val="0"/>
              <w:marTop w:val="0"/>
              <w:marBottom w:val="0"/>
              <w:divBdr>
                <w:top w:val="none" w:sz="0" w:space="0" w:color="auto"/>
                <w:left w:val="none" w:sz="0" w:space="0" w:color="auto"/>
                <w:bottom w:val="none" w:sz="0" w:space="0" w:color="auto"/>
                <w:right w:val="none" w:sz="0" w:space="0" w:color="auto"/>
              </w:divBdr>
              <w:divsChild>
                <w:div w:id="970523589">
                  <w:marLeft w:val="0"/>
                  <w:marRight w:val="0"/>
                  <w:marTop w:val="0"/>
                  <w:marBottom w:val="0"/>
                  <w:divBdr>
                    <w:top w:val="none" w:sz="0" w:space="0" w:color="auto"/>
                    <w:left w:val="none" w:sz="0" w:space="0" w:color="auto"/>
                    <w:bottom w:val="none" w:sz="0" w:space="0" w:color="auto"/>
                    <w:right w:val="none" w:sz="0" w:space="0" w:color="auto"/>
                  </w:divBdr>
                  <w:divsChild>
                    <w:div w:id="251159060">
                      <w:marLeft w:val="0"/>
                      <w:marRight w:val="0"/>
                      <w:marTop w:val="0"/>
                      <w:marBottom w:val="0"/>
                      <w:divBdr>
                        <w:top w:val="none" w:sz="0" w:space="0" w:color="auto"/>
                        <w:left w:val="none" w:sz="0" w:space="0" w:color="auto"/>
                        <w:bottom w:val="none" w:sz="0" w:space="0" w:color="auto"/>
                        <w:right w:val="none" w:sz="0" w:space="0" w:color="auto"/>
                      </w:divBdr>
                      <w:divsChild>
                        <w:div w:id="1747266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35412662">
      <w:bodyDiv w:val="1"/>
      <w:marLeft w:val="0"/>
      <w:marRight w:val="0"/>
      <w:marTop w:val="0"/>
      <w:marBottom w:val="0"/>
      <w:divBdr>
        <w:top w:val="none" w:sz="0" w:space="0" w:color="auto"/>
        <w:left w:val="none" w:sz="0" w:space="0" w:color="auto"/>
        <w:bottom w:val="none" w:sz="0" w:space="0" w:color="auto"/>
        <w:right w:val="none" w:sz="0" w:space="0" w:color="auto"/>
      </w:divBdr>
    </w:div>
    <w:div w:id="1839079408">
      <w:bodyDiv w:val="1"/>
      <w:marLeft w:val="0"/>
      <w:marRight w:val="0"/>
      <w:marTop w:val="0"/>
      <w:marBottom w:val="0"/>
      <w:divBdr>
        <w:top w:val="none" w:sz="0" w:space="0" w:color="auto"/>
        <w:left w:val="none" w:sz="0" w:space="0" w:color="auto"/>
        <w:bottom w:val="none" w:sz="0" w:space="0" w:color="auto"/>
        <w:right w:val="none" w:sz="0" w:space="0" w:color="auto"/>
      </w:divBdr>
      <w:divsChild>
        <w:div w:id="1813523352">
          <w:marLeft w:val="0"/>
          <w:marRight w:val="0"/>
          <w:marTop w:val="0"/>
          <w:marBottom w:val="0"/>
          <w:divBdr>
            <w:top w:val="none" w:sz="0" w:space="0" w:color="auto"/>
            <w:left w:val="none" w:sz="0" w:space="0" w:color="auto"/>
            <w:bottom w:val="none" w:sz="0" w:space="0" w:color="auto"/>
            <w:right w:val="none" w:sz="0" w:space="0" w:color="auto"/>
          </w:divBdr>
          <w:divsChild>
            <w:div w:id="1448698796">
              <w:marLeft w:val="0"/>
              <w:marRight w:val="0"/>
              <w:marTop w:val="0"/>
              <w:marBottom w:val="0"/>
              <w:divBdr>
                <w:top w:val="none" w:sz="0" w:space="0" w:color="auto"/>
                <w:left w:val="none" w:sz="0" w:space="0" w:color="auto"/>
                <w:bottom w:val="none" w:sz="0" w:space="0" w:color="auto"/>
                <w:right w:val="none" w:sz="0" w:space="0" w:color="auto"/>
              </w:divBdr>
              <w:divsChild>
                <w:div w:id="1507094585">
                  <w:marLeft w:val="0"/>
                  <w:marRight w:val="0"/>
                  <w:marTop w:val="0"/>
                  <w:marBottom w:val="0"/>
                  <w:divBdr>
                    <w:top w:val="none" w:sz="0" w:space="0" w:color="auto"/>
                    <w:left w:val="none" w:sz="0" w:space="0" w:color="auto"/>
                    <w:bottom w:val="none" w:sz="0" w:space="0" w:color="auto"/>
                    <w:right w:val="none" w:sz="0" w:space="0" w:color="auto"/>
                  </w:divBdr>
                  <w:divsChild>
                    <w:div w:id="1678969495">
                      <w:marLeft w:val="0"/>
                      <w:marRight w:val="0"/>
                      <w:marTop w:val="0"/>
                      <w:marBottom w:val="0"/>
                      <w:divBdr>
                        <w:top w:val="none" w:sz="0" w:space="0" w:color="auto"/>
                        <w:left w:val="none" w:sz="0" w:space="0" w:color="auto"/>
                        <w:bottom w:val="none" w:sz="0" w:space="0" w:color="auto"/>
                        <w:right w:val="none" w:sz="0" w:space="0" w:color="auto"/>
                      </w:divBdr>
                      <w:divsChild>
                        <w:div w:id="16930811">
                          <w:marLeft w:val="0"/>
                          <w:marRight w:val="0"/>
                          <w:marTop w:val="0"/>
                          <w:marBottom w:val="0"/>
                          <w:divBdr>
                            <w:top w:val="none" w:sz="0" w:space="0" w:color="auto"/>
                            <w:left w:val="none" w:sz="0" w:space="0" w:color="auto"/>
                            <w:bottom w:val="none" w:sz="0" w:space="0" w:color="auto"/>
                            <w:right w:val="none" w:sz="0" w:space="0" w:color="auto"/>
                          </w:divBdr>
                          <w:divsChild>
                            <w:div w:id="126511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894992">
      <w:bodyDiv w:val="1"/>
      <w:marLeft w:val="0"/>
      <w:marRight w:val="0"/>
      <w:marTop w:val="0"/>
      <w:marBottom w:val="0"/>
      <w:divBdr>
        <w:top w:val="none" w:sz="0" w:space="0" w:color="auto"/>
        <w:left w:val="none" w:sz="0" w:space="0" w:color="auto"/>
        <w:bottom w:val="none" w:sz="0" w:space="0" w:color="auto"/>
        <w:right w:val="none" w:sz="0" w:space="0" w:color="auto"/>
      </w:divBdr>
    </w:div>
    <w:div w:id="1886596320">
      <w:bodyDiv w:val="1"/>
      <w:marLeft w:val="0"/>
      <w:marRight w:val="0"/>
      <w:marTop w:val="0"/>
      <w:marBottom w:val="0"/>
      <w:divBdr>
        <w:top w:val="none" w:sz="0" w:space="0" w:color="auto"/>
        <w:left w:val="none" w:sz="0" w:space="0" w:color="auto"/>
        <w:bottom w:val="none" w:sz="0" w:space="0" w:color="auto"/>
        <w:right w:val="none" w:sz="0" w:space="0" w:color="auto"/>
      </w:divBdr>
    </w:div>
    <w:div w:id="1899507576">
      <w:bodyDiv w:val="1"/>
      <w:marLeft w:val="0"/>
      <w:marRight w:val="0"/>
      <w:marTop w:val="0"/>
      <w:marBottom w:val="0"/>
      <w:divBdr>
        <w:top w:val="none" w:sz="0" w:space="0" w:color="auto"/>
        <w:left w:val="none" w:sz="0" w:space="0" w:color="auto"/>
        <w:bottom w:val="none" w:sz="0" w:space="0" w:color="auto"/>
        <w:right w:val="none" w:sz="0" w:space="0" w:color="auto"/>
      </w:divBdr>
    </w:div>
    <w:div w:id="1911621383">
      <w:bodyDiv w:val="1"/>
      <w:marLeft w:val="0"/>
      <w:marRight w:val="0"/>
      <w:marTop w:val="0"/>
      <w:marBottom w:val="0"/>
      <w:divBdr>
        <w:top w:val="none" w:sz="0" w:space="0" w:color="auto"/>
        <w:left w:val="none" w:sz="0" w:space="0" w:color="auto"/>
        <w:bottom w:val="none" w:sz="0" w:space="0" w:color="auto"/>
        <w:right w:val="none" w:sz="0" w:space="0" w:color="auto"/>
      </w:divBdr>
    </w:div>
    <w:div w:id="1940336381">
      <w:bodyDiv w:val="1"/>
      <w:marLeft w:val="0"/>
      <w:marRight w:val="0"/>
      <w:marTop w:val="0"/>
      <w:marBottom w:val="0"/>
      <w:divBdr>
        <w:top w:val="none" w:sz="0" w:space="0" w:color="auto"/>
        <w:left w:val="none" w:sz="0" w:space="0" w:color="auto"/>
        <w:bottom w:val="none" w:sz="0" w:space="0" w:color="auto"/>
        <w:right w:val="none" w:sz="0" w:space="0" w:color="auto"/>
      </w:divBdr>
    </w:div>
    <w:div w:id="1960263083">
      <w:bodyDiv w:val="1"/>
      <w:marLeft w:val="0"/>
      <w:marRight w:val="0"/>
      <w:marTop w:val="0"/>
      <w:marBottom w:val="0"/>
      <w:divBdr>
        <w:top w:val="none" w:sz="0" w:space="0" w:color="auto"/>
        <w:left w:val="none" w:sz="0" w:space="0" w:color="auto"/>
        <w:bottom w:val="none" w:sz="0" w:space="0" w:color="auto"/>
        <w:right w:val="none" w:sz="0" w:space="0" w:color="auto"/>
      </w:divBdr>
    </w:div>
    <w:div w:id="1984894872">
      <w:bodyDiv w:val="1"/>
      <w:marLeft w:val="0"/>
      <w:marRight w:val="0"/>
      <w:marTop w:val="0"/>
      <w:marBottom w:val="0"/>
      <w:divBdr>
        <w:top w:val="none" w:sz="0" w:space="0" w:color="auto"/>
        <w:left w:val="none" w:sz="0" w:space="0" w:color="auto"/>
        <w:bottom w:val="none" w:sz="0" w:space="0" w:color="auto"/>
        <w:right w:val="none" w:sz="0" w:space="0" w:color="auto"/>
      </w:divBdr>
    </w:div>
    <w:div w:id="1998265197">
      <w:bodyDiv w:val="1"/>
      <w:marLeft w:val="0"/>
      <w:marRight w:val="0"/>
      <w:marTop w:val="0"/>
      <w:marBottom w:val="0"/>
      <w:divBdr>
        <w:top w:val="none" w:sz="0" w:space="0" w:color="auto"/>
        <w:left w:val="none" w:sz="0" w:space="0" w:color="auto"/>
        <w:bottom w:val="none" w:sz="0" w:space="0" w:color="auto"/>
        <w:right w:val="none" w:sz="0" w:space="0" w:color="auto"/>
      </w:divBdr>
    </w:div>
    <w:div w:id="2004123037">
      <w:bodyDiv w:val="1"/>
      <w:marLeft w:val="0"/>
      <w:marRight w:val="0"/>
      <w:marTop w:val="0"/>
      <w:marBottom w:val="0"/>
      <w:divBdr>
        <w:top w:val="none" w:sz="0" w:space="0" w:color="auto"/>
        <w:left w:val="none" w:sz="0" w:space="0" w:color="auto"/>
        <w:bottom w:val="none" w:sz="0" w:space="0" w:color="auto"/>
        <w:right w:val="none" w:sz="0" w:space="0" w:color="auto"/>
      </w:divBdr>
    </w:div>
    <w:div w:id="2012561382">
      <w:bodyDiv w:val="1"/>
      <w:marLeft w:val="0"/>
      <w:marRight w:val="0"/>
      <w:marTop w:val="0"/>
      <w:marBottom w:val="0"/>
      <w:divBdr>
        <w:top w:val="none" w:sz="0" w:space="0" w:color="auto"/>
        <w:left w:val="none" w:sz="0" w:space="0" w:color="auto"/>
        <w:bottom w:val="none" w:sz="0" w:space="0" w:color="auto"/>
        <w:right w:val="none" w:sz="0" w:space="0" w:color="auto"/>
      </w:divBdr>
    </w:div>
    <w:div w:id="2034186080">
      <w:bodyDiv w:val="1"/>
      <w:marLeft w:val="0"/>
      <w:marRight w:val="0"/>
      <w:marTop w:val="0"/>
      <w:marBottom w:val="0"/>
      <w:divBdr>
        <w:top w:val="none" w:sz="0" w:space="0" w:color="auto"/>
        <w:left w:val="none" w:sz="0" w:space="0" w:color="auto"/>
        <w:bottom w:val="none" w:sz="0" w:space="0" w:color="auto"/>
        <w:right w:val="none" w:sz="0" w:space="0" w:color="auto"/>
      </w:divBdr>
      <w:divsChild>
        <w:div w:id="1606884150">
          <w:marLeft w:val="0"/>
          <w:marRight w:val="0"/>
          <w:marTop w:val="0"/>
          <w:marBottom w:val="0"/>
          <w:divBdr>
            <w:top w:val="none" w:sz="0" w:space="0" w:color="auto"/>
            <w:left w:val="none" w:sz="0" w:space="0" w:color="auto"/>
            <w:bottom w:val="none" w:sz="0" w:space="0" w:color="auto"/>
            <w:right w:val="none" w:sz="0" w:space="0" w:color="auto"/>
          </w:divBdr>
          <w:divsChild>
            <w:div w:id="1245602292">
              <w:marLeft w:val="0"/>
              <w:marRight w:val="0"/>
              <w:marTop w:val="0"/>
              <w:marBottom w:val="0"/>
              <w:divBdr>
                <w:top w:val="none" w:sz="0" w:space="0" w:color="auto"/>
                <w:left w:val="none" w:sz="0" w:space="0" w:color="auto"/>
                <w:bottom w:val="none" w:sz="0" w:space="0" w:color="auto"/>
                <w:right w:val="none" w:sz="0" w:space="0" w:color="auto"/>
              </w:divBdr>
              <w:divsChild>
                <w:div w:id="1497450663">
                  <w:marLeft w:val="0"/>
                  <w:marRight w:val="0"/>
                  <w:marTop w:val="0"/>
                  <w:marBottom w:val="0"/>
                  <w:divBdr>
                    <w:top w:val="none" w:sz="0" w:space="0" w:color="auto"/>
                    <w:left w:val="none" w:sz="0" w:space="0" w:color="auto"/>
                    <w:bottom w:val="none" w:sz="0" w:space="0" w:color="auto"/>
                    <w:right w:val="none" w:sz="0" w:space="0" w:color="auto"/>
                  </w:divBdr>
                  <w:divsChild>
                    <w:div w:id="805859912">
                      <w:marLeft w:val="0"/>
                      <w:marRight w:val="0"/>
                      <w:marTop w:val="0"/>
                      <w:marBottom w:val="0"/>
                      <w:divBdr>
                        <w:top w:val="none" w:sz="0" w:space="0" w:color="auto"/>
                        <w:left w:val="none" w:sz="0" w:space="0" w:color="auto"/>
                        <w:bottom w:val="none" w:sz="0" w:space="0" w:color="auto"/>
                        <w:right w:val="none" w:sz="0" w:space="0" w:color="auto"/>
                      </w:divBdr>
                      <w:divsChild>
                        <w:div w:id="1236280480">
                          <w:marLeft w:val="300"/>
                          <w:marRight w:val="300"/>
                          <w:marTop w:val="0"/>
                          <w:marBottom w:val="0"/>
                          <w:divBdr>
                            <w:top w:val="none" w:sz="0" w:space="0" w:color="auto"/>
                            <w:left w:val="none" w:sz="0" w:space="0" w:color="auto"/>
                            <w:bottom w:val="none" w:sz="0" w:space="0" w:color="auto"/>
                            <w:right w:val="none" w:sz="0" w:space="0" w:color="auto"/>
                          </w:divBdr>
                          <w:divsChild>
                            <w:div w:id="879362240">
                              <w:marLeft w:val="0"/>
                              <w:marRight w:val="0"/>
                              <w:marTop w:val="0"/>
                              <w:marBottom w:val="0"/>
                              <w:divBdr>
                                <w:top w:val="none" w:sz="0" w:space="0" w:color="auto"/>
                                <w:left w:val="none" w:sz="0" w:space="0" w:color="auto"/>
                                <w:bottom w:val="none" w:sz="0" w:space="0" w:color="auto"/>
                                <w:right w:val="none" w:sz="0" w:space="0" w:color="auto"/>
                              </w:divBdr>
                              <w:divsChild>
                                <w:div w:id="111023931">
                                  <w:marLeft w:val="0"/>
                                  <w:marRight w:val="0"/>
                                  <w:marTop w:val="0"/>
                                  <w:marBottom w:val="225"/>
                                  <w:divBdr>
                                    <w:top w:val="none" w:sz="0" w:space="0" w:color="auto"/>
                                    <w:left w:val="none" w:sz="0" w:space="0" w:color="auto"/>
                                    <w:bottom w:val="none" w:sz="0" w:space="0" w:color="auto"/>
                                    <w:right w:val="none" w:sz="0" w:space="0" w:color="auto"/>
                                  </w:divBdr>
                                  <w:divsChild>
                                    <w:div w:id="17925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484667">
      <w:bodyDiv w:val="1"/>
      <w:marLeft w:val="0"/>
      <w:marRight w:val="0"/>
      <w:marTop w:val="0"/>
      <w:marBottom w:val="0"/>
      <w:divBdr>
        <w:top w:val="none" w:sz="0" w:space="0" w:color="auto"/>
        <w:left w:val="none" w:sz="0" w:space="0" w:color="auto"/>
        <w:bottom w:val="none" w:sz="0" w:space="0" w:color="auto"/>
        <w:right w:val="none" w:sz="0" w:space="0" w:color="auto"/>
      </w:divBdr>
      <w:divsChild>
        <w:div w:id="976297522">
          <w:marLeft w:val="0"/>
          <w:marRight w:val="0"/>
          <w:marTop w:val="0"/>
          <w:marBottom w:val="0"/>
          <w:divBdr>
            <w:top w:val="none" w:sz="0" w:space="0" w:color="auto"/>
            <w:left w:val="none" w:sz="0" w:space="0" w:color="auto"/>
            <w:bottom w:val="none" w:sz="0" w:space="0" w:color="auto"/>
            <w:right w:val="none" w:sz="0" w:space="0" w:color="auto"/>
          </w:divBdr>
        </w:div>
      </w:divsChild>
    </w:div>
    <w:div w:id="2084990229">
      <w:bodyDiv w:val="1"/>
      <w:marLeft w:val="0"/>
      <w:marRight w:val="0"/>
      <w:marTop w:val="0"/>
      <w:marBottom w:val="0"/>
      <w:divBdr>
        <w:top w:val="none" w:sz="0" w:space="0" w:color="auto"/>
        <w:left w:val="none" w:sz="0" w:space="0" w:color="auto"/>
        <w:bottom w:val="none" w:sz="0" w:space="0" w:color="auto"/>
        <w:right w:val="none" w:sz="0" w:space="0" w:color="auto"/>
      </w:divBdr>
    </w:div>
    <w:div w:id="2090148510">
      <w:bodyDiv w:val="1"/>
      <w:marLeft w:val="0"/>
      <w:marRight w:val="0"/>
      <w:marTop w:val="0"/>
      <w:marBottom w:val="0"/>
      <w:divBdr>
        <w:top w:val="none" w:sz="0" w:space="0" w:color="auto"/>
        <w:left w:val="none" w:sz="0" w:space="0" w:color="auto"/>
        <w:bottom w:val="none" w:sz="0" w:space="0" w:color="auto"/>
        <w:right w:val="none" w:sz="0" w:space="0" w:color="auto"/>
      </w:divBdr>
    </w:div>
    <w:div w:id="2098361418">
      <w:bodyDiv w:val="1"/>
      <w:marLeft w:val="0"/>
      <w:marRight w:val="0"/>
      <w:marTop w:val="0"/>
      <w:marBottom w:val="0"/>
      <w:divBdr>
        <w:top w:val="none" w:sz="0" w:space="0" w:color="auto"/>
        <w:left w:val="none" w:sz="0" w:space="0" w:color="auto"/>
        <w:bottom w:val="none" w:sz="0" w:space="0" w:color="auto"/>
        <w:right w:val="none" w:sz="0" w:space="0" w:color="auto"/>
      </w:divBdr>
    </w:div>
    <w:div w:id="2117673794">
      <w:bodyDiv w:val="1"/>
      <w:marLeft w:val="0"/>
      <w:marRight w:val="0"/>
      <w:marTop w:val="0"/>
      <w:marBottom w:val="0"/>
      <w:divBdr>
        <w:top w:val="none" w:sz="0" w:space="0" w:color="auto"/>
        <w:left w:val="none" w:sz="0" w:space="0" w:color="auto"/>
        <w:bottom w:val="none" w:sz="0" w:space="0" w:color="auto"/>
        <w:right w:val="none" w:sz="0" w:space="0" w:color="auto"/>
      </w:divBdr>
    </w:div>
    <w:div w:id="2122141406">
      <w:bodyDiv w:val="1"/>
      <w:marLeft w:val="0"/>
      <w:marRight w:val="0"/>
      <w:marTop w:val="0"/>
      <w:marBottom w:val="0"/>
      <w:divBdr>
        <w:top w:val="none" w:sz="0" w:space="0" w:color="auto"/>
        <w:left w:val="none" w:sz="0" w:space="0" w:color="auto"/>
        <w:bottom w:val="none" w:sz="0" w:space="0" w:color="auto"/>
        <w:right w:val="none" w:sz="0" w:space="0" w:color="auto"/>
      </w:divBdr>
      <w:divsChild>
        <w:div w:id="191116944">
          <w:marLeft w:val="0"/>
          <w:marRight w:val="0"/>
          <w:marTop w:val="0"/>
          <w:marBottom w:val="0"/>
          <w:divBdr>
            <w:top w:val="none" w:sz="0" w:space="0" w:color="auto"/>
            <w:left w:val="none" w:sz="0" w:space="0" w:color="auto"/>
            <w:bottom w:val="none" w:sz="0" w:space="0" w:color="auto"/>
            <w:right w:val="none" w:sz="0" w:space="0" w:color="auto"/>
          </w:divBdr>
          <w:divsChild>
            <w:div w:id="235166520">
              <w:marLeft w:val="0"/>
              <w:marRight w:val="0"/>
              <w:marTop w:val="0"/>
              <w:marBottom w:val="0"/>
              <w:divBdr>
                <w:top w:val="none" w:sz="0" w:space="0" w:color="auto"/>
                <w:left w:val="none" w:sz="0" w:space="0" w:color="auto"/>
                <w:bottom w:val="none" w:sz="0" w:space="0" w:color="auto"/>
                <w:right w:val="none" w:sz="0" w:space="0" w:color="auto"/>
              </w:divBdr>
            </w:div>
          </w:divsChild>
        </w:div>
        <w:div w:id="365644021">
          <w:marLeft w:val="0"/>
          <w:marRight w:val="0"/>
          <w:marTop w:val="0"/>
          <w:marBottom w:val="0"/>
          <w:divBdr>
            <w:top w:val="none" w:sz="0" w:space="0" w:color="auto"/>
            <w:left w:val="none" w:sz="0" w:space="0" w:color="auto"/>
            <w:bottom w:val="none" w:sz="0" w:space="0" w:color="auto"/>
            <w:right w:val="none" w:sz="0" w:space="0" w:color="auto"/>
          </w:divBdr>
          <w:divsChild>
            <w:div w:id="143000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694608">
      <w:bodyDiv w:val="1"/>
      <w:marLeft w:val="0"/>
      <w:marRight w:val="0"/>
      <w:marTop w:val="0"/>
      <w:marBottom w:val="0"/>
      <w:divBdr>
        <w:top w:val="none" w:sz="0" w:space="0" w:color="auto"/>
        <w:left w:val="none" w:sz="0" w:space="0" w:color="auto"/>
        <w:bottom w:val="none" w:sz="0" w:space="0" w:color="auto"/>
        <w:right w:val="none" w:sz="0" w:space="0" w:color="auto"/>
      </w:divBdr>
    </w:div>
    <w:div w:id="214017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trobe@deakin.edu.au" TargetMode="External"/><Relationship Id="rId21" Type="http://schemas.openxmlformats.org/officeDocument/2006/relationships/hyperlink" Target="https://www.webster-dictionary.org/definition/the" TargetMode="External"/><Relationship Id="rId42" Type="http://schemas.openxmlformats.org/officeDocument/2006/relationships/hyperlink" Target="https://www.webster-dictionary.org/definition/being" TargetMode="External"/><Relationship Id="rId63" Type="http://schemas.openxmlformats.org/officeDocument/2006/relationships/hyperlink" Target="https://www.webster-dictionary.org/definition/especially" TargetMode="External"/><Relationship Id="rId84" Type="http://schemas.openxmlformats.org/officeDocument/2006/relationships/hyperlink" Target="mailto:nhartant@deakin.edu.au" TargetMode="External"/><Relationship Id="rId138" Type="http://schemas.openxmlformats.org/officeDocument/2006/relationships/hyperlink" Target="mailto:asongusimplice@yahoo.com" TargetMode="External"/><Relationship Id="rId159" Type="http://schemas.openxmlformats.org/officeDocument/2006/relationships/hyperlink" Target="http://www.acqol.com.au/instruments" TargetMode="External"/><Relationship Id="rId170" Type="http://schemas.openxmlformats.org/officeDocument/2006/relationships/hyperlink" Target="https://www.beehive.govt.nz/speech/why-does-good-government-matter" TargetMode="External"/><Relationship Id="rId191" Type="http://schemas.openxmlformats.org/officeDocument/2006/relationships/hyperlink" Target="https://www.pnas.org/content/116/4/1207" TargetMode="External"/><Relationship Id="rId205" Type="http://schemas.openxmlformats.org/officeDocument/2006/relationships/hyperlink" Target="http://www.acqol.com.au/" TargetMode="External"/><Relationship Id="rId226" Type="http://schemas.openxmlformats.org/officeDocument/2006/relationships/hyperlink" Target="mailto:juanita12@bigpond.com" TargetMode="External"/><Relationship Id="rId247" Type="http://schemas.openxmlformats.org/officeDocument/2006/relationships/theme" Target="theme/theme1.xml"/><Relationship Id="rId107" Type="http://schemas.openxmlformats.org/officeDocument/2006/relationships/hyperlink" Target="mailto:restes@sp2.upenn.edu" TargetMode="External"/><Relationship Id="rId11" Type="http://schemas.openxmlformats.org/officeDocument/2006/relationships/hyperlink" Target="https://www.webster-dictionary.org/definition/luck" TargetMode="External"/><Relationship Id="rId32" Type="http://schemas.openxmlformats.org/officeDocument/2006/relationships/hyperlink" Target="https://www.webster-dictionary.org/definition/kind" TargetMode="External"/><Relationship Id="rId53" Type="http://schemas.openxmlformats.org/officeDocument/2006/relationships/hyperlink" Target="https://www.webster-dictionary.org/definition/contentment" TargetMode="External"/><Relationship Id="rId74" Type="http://schemas.openxmlformats.org/officeDocument/2006/relationships/hyperlink" Target="mailto:ludwigs@happiness-research.org" TargetMode="External"/><Relationship Id="rId128" Type="http://schemas.openxmlformats.org/officeDocument/2006/relationships/hyperlink" Target="https://en.wikipedia.org/wiki/Australian_Living_Treasures" TargetMode="External"/><Relationship Id="rId149" Type="http://schemas.openxmlformats.org/officeDocument/2006/relationships/hyperlink" Target="mailto:thomassa@deakin.edu.au" TargetMode="External"/><Relationship Id="rId5" Type="http://schemas.openxmlformats.org/officeDocument/2006/relationships/webSettings" Target="webSettings.xml"/><Relationship Id="rId95" Type="http://schemas.openxmlformats.org/officeDocument/2006/relationships/hyperlink" Target="https://doi.org/10.3389/fpsyg.2019.02025" TargetMode="External"/><Relationship Id="rId160" Type="http://schemas.openxmlformats.org/officeDocument/2006/relationships/hyperlink" Target="http://www.acqol.com.au/uploads/instruments/DASS-Nemanja-211118-FINAL.pdf" TargetMode="External"/><Relationship Id="rId181" Type="http://schemas.openxmlformats.org/officeDocument/2006/relationships/hyperlink" Target="http://www.acqol.com.au/" TargetMode="External"/><Relationship Id="rId216" Type="http://schemas.openxmlformats.org/officeDocument/2006/relationships/hyperlink" Target="http://www.acqol.com.au/" TargetMode="External"/><Relationship Id="rId237" Type="http://schemas.openxmlformats.org/officeDocument/2006/relationships/hyperlink" Target="https://www.cia.gov/library/publications/resources/the-world-factbook/fields/2172.html" TargetMode="External"/><Relationship Id="rId22" Type="http://schemas.openxmlformats.org/officeDocument/2006/relationships/hyperlink" Target="https://www.webster-dictionary.org/definition/soul" TargetMode="External"/><Relationship Id="rId43" Type="http://schemas.openxmlformats.org/officeDocument/2006/relationships/hyperlink" Target="https://www.webster-dictionary.org/definition/which" TargetMode="External"/><Relationship Id="rId64" Type="http://schemas.openxmlformats.org/officeDocument/2006/relationships/hyperlink" Target="https://www.webster-dictionary.org/definition/of" TargetMode="External"/><Relationship Id="rId118" Type="http://schemas.openxmlformats.org/officeDocument/2006/relationships/hyperlink" Target="https://www.sciencenews.org/article/when-anxiety-happens-early-preschool-treatments-can-help" TargetMode="External"/><Relationship Id="rId139" Type="http://schemas.openxmlformats.org/officeDocument/2006/relationships/hyperlink" Target="mailto:kreg.lindberg@osucascades.edu" TargetMode="External"/><Relationship Id="rId85" Type="http://schemas.openxmlformats.org/officeDocument/2006/relationships/hyperlink" Target="http://www.acqol.com.au/instruments" TargetMode="External"/><Relationship Id="rId150" Type="http://schemas.openxmlformats.org/officeDocument/2006/relationships/hyperlink" Target="mailto:duan.w@outlook.com" TargetMode="External"/><Relationship Id="rId171" Type="http://schemas.openxmlformats.org/officeDocument/2006/relationships/hyperlink" Target="mailto:trobe@deakin.edu.au" TargetMode="External"/><Relationship Id="rId192" Type="http://schemas.openxmlformats.org/officeDocument/2006/relationships/hyperlink" Target="https://www.ucl.ac.uk/iehc/research/behavioural-science-health/people/staff/steptoe" TargetMode="External"/><Relationship Id="rId206" Type="http://schemas.openxmlformats.org/officeDocument/2006/relationships/hyperlink" Target="http://www.acqol.com.au/publications" TargetMode="External"/><Relationship Id="rId227" Type="http://schemas.openxmlformats.org/officeDocument/2006/relationships/hyperlink" Target="mailto:robert.cummins@deakin.edu.au" TargetMode="External"/><Relationship Id="rId12" Type="http://schemas.openxmlformats.org/officeDocument/2006/relationships/hyperlink" Target="https://www.webster-dictionary.org/definition/good" TargetMode="External"/><Relationship Id="rId33" Type="http://schemas.openxmlformats.org/officeDocument/2006/relationships/hyperlink" Target="https://www.webster-dictionary.org/definition/the" TargetMode="External"/><Relationship Id="rId108" Type="http://schemas.openxmlformats.org/officeDocument/2006/relationships/hyperlink" Target="mailto:walternestort@yahoo.es" TargetMode="External"/><Relationship Id="rId129" Type="http://schemas.openxmlformats.org/officeDocument/2006/relationships/hyperlink" Target="https://en.wikipedia.org/wiki/National_Trust_of_Australia" TargetMode="External"/><Relationship Id="rId54" Type="http://schemas.openxmlformats.org/officeDocument/2006/relationships/hyperlink" Target="https://www.webster-dictionary.org/definition/joyful" TargetMode="External"/><Relationship Id="rId75" Type="http://schemas.openxmlformats.org/officeDocument/2006/relationships/hyperlink" Target="mailto:cecilia.wong@manchester.ac.uk" TargetMode="External"/><Relationship Id="rId96" Type="http://schemas.openxmlformats.org/officeDocument/2006/relationships/hyperlink" Target="http://www.acqol.com.au/" TargetMode="External"/><Relationship Id="rId140" Type="http://schemas.openxmlformats.org/officeDocument/2006/relationships/hyperlink" Target="mailto:daskal@uop.gr" TargetMode="External"/><Relationship Id="rId161" Type="http://schemas.openxmlformats.org/officeDocument/2006/relationships/hyperlink" Target="http://www.psy.unsw.edu.au/groups/Dass/" TargetMode="External"/><Relationship Id="rId182" Type="http://schemas.openxmlformats.org/officeDocument/2006/relationships/hyperlink" Target="http://www.acqol.com.au/projects" TargetMode="External"/><Relationship Id="rId217" Type="http://schemas.openxmlformats.org/officeDocument/2006/relationships/hyperlink" Target="http://www.acqol.com.au/projects" TargetMode="External"/><Relationship Id="rId6" Type="http://schemas.openxmlformats.org/officeDocument/2006/relationships/hyperlink" Target="http://www.acqol.com.au/publications" TargetMode="External"/><Relationship Id="rId238" Type="http://schemas.openxmlformats.org/officeDocument/2006/relationships/hyperlink" Target="http://www.oxfordbibliographies.com/view/document/obo-9780199828340/obo-9780199828340-0167.xml" TargetMode="External"/><Relationship Id="rId23" Type="http://schemas.openxmlformats.org/officeDocument/2006/relationships/hyperlink" Target="https://www.webster-dictionary.org/definition/arising" TargetMode="External"/><Relationship Id="rId119" Type="http://schemas.openxmlformats.org/officeDocument/2006/relationships/hyperlink" Target="mailto:elgrimac@istat.it" TargetMode="External"/><Relationship Id="rId44" Type="http://schemas.openxmlformats.org/officeDocument/2006/relationships/hyperlink" Target="https://www.webster-dictionary.org/definition/is" TargetMode="External"/><Relationship Id="rId65" Type="http://schemas.openxmlformats.org/officeDocument/2006/relationships/hyperlink" Target="https://www.webster-dictionary.org/definition/language" TargetMode="External"/><Relationship Id="rId86" Type="http://schemas.openxmlformats.org/officeDocument/2006/relationships/hyperlink" Target="http://www.acqol.com.au/instruments" TargetMode="External"/><Relationship Id="rId130" Type="http://schemas.openxmlformats.org/officeDocument/2006/relationships/image" Target="media/image1.jpeg"/><Relationship Id="rId151" Type="http://schemas.openxmlformats.org/officeDocument/2006/relationships/hyperlink" Target="mailto:j.j.graafland@uvt.nl" TargetMode="External"/><Relationship Id="rId172" Type="http://schemas.openxmlformats.org/officeDocument/2006/relationships/hyperlink" Target="https://www.sciencedaily.com/releases/2019/07/190722111904.htm" TargetMode="External"/><Relationship Id="rId193" Type="http://schemas.openxmlformats.org/officeDocument/2006/relationships/hyperlink" Target="https://www.ucl.ac.uk/iehc/research/behavioural-science-health/people/staff/fancourt" TargetMode="External"/><Relationship Id="rId207" Type="http://schemas.openxmlformats.org/officeDocument/2006/relationships/hyperlink" Target="mailto:juanita12@bigpond.com" TargetMode="External"/><Relationship Id="rId228" Type="http://schemas.openxmlformats.org/officeDocument/2006/relationships/hyperlink" Target="mailto:trobe@deakin.edu.au" TargetMode="External"/><Relationship Id="rId13" Type="http://schemas.openxmlformats.org/officeDocument/2006/relationships/hyperlink" Target="https://www.webster-dictionary.org/definition/fortune" TargetMode="External"/><Relationship Id="rId109" Type="http://schemas.openxmlformats.org/officeDocument/2006/relationships/hyperlink" Target="mailto:emagruber2000@yahoo.com" TargetMode="External"/><Relationship Id="rId34" Type="http://schemas.openxmlformats.org/officeDocument/2006/relationships/hyperlink" Target="https://www.webster-dictionary.org/definition/possession" TargetMode="External"/><Relationship Id="rId55" Type="http://schemas.openxmlformats.org/officeDocument/2006/relationships/hyperlink" Target="https://www.webster-dictionary.org/definition/satisfaction" TargetMode="External"/><Relationship Id="rId76" Type="http://schemas.openxmlformats.org/officeDocument/2006/relationships/hyperlink" Target="mailto:allison.poulos@asu.edu" TargetMode="External"/><Relationship Id="rId97" Type="http://schemas.openxmlformats.org/officeDocument/2006/relationships/hyperlink" Target="http://www.acqol.com.au/projects" TargetMode="External"/><Relationship Id="rId120" Type="http://schemas.openxmlformats.org/officeDocument/2006/relationships/hyperlink" Target="mailto:marek.kosny@ue.wroc.pl" TargetMode="External"/><Relationship Id="rId141" Type="http://schemas.openxmlformats.org/officeDocument/2006/relationships/hyperlink" Target="http://www.oxfordbibliographies.com/view/document/obo-9780199828340/obo-9780199828340-0167.xml" TargetMode="External"/><Relationship Id="rId7" Type="http://schemas.openxmlformats.org/officeDocument/2006/relationships/hyperlink" Target="http://www.acqol.com.au/" TargetMode="External"/><Relationship Id="rId162" Type="http://schemas.openxmlformats.org/officeDocument/2006/relationships/hyperlink" Target="http://www.acola.org" TargetMode="External"/><Relationship Id="rId183" Type="http://schemas.openxmlformats.org/officeDocument/2006/relationships/hyperlink" Target="mailto:klyall@deakin.edu.au" TargetMode="External"/><Relationship Id="rId218" Type="http://schemas.openxmlformats.org/officeDocument/2006/relationships/hyperlink" Target="mailto:robert.cummins@deakin.edu.au" TargetMode="External"/><Relationship Id="rId239" Type="http://schemas.openxmlformats.org/officeDocument/2006/relationships/hyperlink" Target="https://rd.springer.com/book/10.1007%2F978-3-030-05535-6" TargetMode="External"/><Relationship Id="rId24" Type="http://schemas.openxmlformats.org/officeDocument/2006/relationships/hyperlink" Target="https://www.webster-dictionary.org/definition/from" TargetMode="External"/><Relationship Id="rId45" Type="http://schemas.openxmlformats.org/officeDocument/2006/relationships/hyperlink" Target="https://www.webster-dictionary.org/definition/attended" TargetMode="External"/><Relationship Id="rId66" Type="http://schemas.openxmlformats.org/officeDocument/2006/relationships/hyperlink" Target="https://www.merriam-webster.com/dictionary/joy" TargetMode="External"/><Relationship Id="rId87" Type="http://schemas.openxmlformats.org/officeDocument/2006/relationships/hyperlink" Target="https://apo.org.au/sites/default/files/resource-files/2019/09/aponid257076-1384436.pdf" TargetMode="External"/><Relationship Id="rId110" Type="http://schemas.openxmlformats.org/officeDocument/2006/relationships/hyperlink" Target="mailto:gtonon1@palermo.edu" TargetMode="External"/><Relationship Id="rId131" Type="http://schemas.openxmlformats.org/officeDocument/2006/relationships/hyperlink" Target="mailto:delyse.hutchinson@deakin.edu.au" TargetMode="External"/><Relationship Id="rId152" Type="http://schemas.openxmlformats.org/officeDocument/2006/relationships/hyperlink" Target="mailto:michellecarlyle@unisson.org.au" TargetMode="External"/><Relationship Id="rId173" Type="http://schemas.openxmlformats.org/officeDocument/2006/relationships/hyperlink" Target="mailto:sadamss2000@yahoocom" TargetMode="External"/><Relationship Id="rId194" Type="http://schemas.openxmlformats.org/officeDocument/2006/relationships/hyperlink" Target="https://www.elsa-project.ac.uk/" TargetMode="External"/><Relationship Id="rId208" Type="http://schemas.openxmlformats.org/officeDocument/2006/relationships/hyperlink" Target="mailto:robert.cummins@deakin.edu.au" TargetMode="External"/><Relationship Id="rId229" Type="http://schemas.openxmlformats.org/officeDocument/2006/relationships/hyperlink" Target="https://www.lifehack.org/377243/science-says-silence-much-more-important-our-brains-thanthought?fbclid=IwAR2Xru9ya8TK_AyJmy3G2_70Ef0JQVUMYwXPWsZjRRDrn0sLamL2qOGtqvM" TargetMode="External"/><Relationship Id="rId240" Type="http://schemas.openxmlformats.org/officeDocument/2006/relationships/hyperlink" Target="http://www.acqol.com.au/publications" TargetMode="External"/><Relationship Id="rId14" Type="http://schemas.openxmlformats.org/officeDocument/2006/relationships/hyperlink" Target="https://www.webster-dictionary.org/definition/prosperity" TargetMode="External"/><Relationship Id="rId35" Type="http://schemas.openxmlformats.org/officeDocument/2006/relationships/hyperlink" Target="https://www.webster-dictionary.org/definition/of" TargetMode="External"/><Relationship Id="rId56" Type="http://schemas.openxmlformats.org/officeDocument/2006/relationships/hyperlink" Target="https://www.webster-dictionary.org/definition/felicity" TargetMode="External"/><Relationship Id="rId77" Type="http://schemas.openxmlformats.org/officeDocument/2006/relationships/hyperlink" Target="mailto:francescaparente.rse@gmail.com" TargetMode="External"/><Relationship Id="rId100" Type="http://schemas.openxmlformats.org/officeDocument/2006/relationships/hyperlink" Target="mailto:robert.cummins@deakin.edu.au" TargetMode="External"/><Relationship Id="rId8" Type="http://schemas.openxmlformats.org/officeDocument/2006/relationships/hyperlink" Target="http://www.acqol.com.au/projects" TargetMode="External"/><Relationship Id="rId98" Type="http://schemas.openxmlformats.org/officeDocument/2006/relationships/hyperlink" Target="mailto:mark.otto.fabian@gmail.com" TargetMode="External"/><Relationship Id="rId121" Type="http://schemas.openxmlformats.org/officeDocument/2006/relationships/hyperlink" Target="https://www.theguardian.com/commentisfree/2007/oct/13/comment.publicservices" TargetMode="External"/><Relationship Id="rId142" Type="http://schemas.openxmlformats.org/officeDocument/2006/relationships/hyperlink" Target="http://www.acqol.com.au/" TargetMode="External"/><Relationship Id="rId163" Type="http://schemas.openxmlformats.org/officeDocument/2006/relationships/hyperlink" Target="https://apo.org.au/sites/default/files/resource-files/2019/07/apo-nid250306-1375966.pdf" TargetMode="External"/><Relationship Id="rId184" Type="http://schemas.openxmlformats.org/officeDocument/2006/relationships/hyperlink" Target="mailto:robert.cummins@deakin.edu.au" TargetMode="External"/><Relationship Id="rId219" Type="http://schemas.openxmlformats.org/officeDocument/2006/relationships/hyperlink" Target="http://www.acqol.com.au/publications" TargetMode="External"/><Relationship Id="rId230" Type="http://schemas.openxmlformats.org/officeDocument/2006/relationships/hyperlink" Target="mailto:Calista.Castles@umail.usq.edu.au" TargetMode="External"/><Relationship Id="rId25" Type="http://schemas.openxmlformats.org/officeDocument/2006/relationships/hyperlink" Target="https://www.webster-dictionary.org/definition/good" TargetMode="External"/><Relationship Id="rId46" Type="http://schemas.openxmlformats.org/officeDocument/2006/relationships/hyperlink" Target="https://www.webster-dictionary.org/definition/with" TargetMode="External"/><Relationship Id="rId67" Type="http://schemas.openxmlformats.org/officeDocument/2006/relationships/hyperlink" Target="https://www.merriam-webster.com/dictionary/felicity" TargetMode="External"/><Relationship Id="rId88" Type="http://schemas.openxmlformats.org/officeDocument/2006/relationships/hyperlink" Target="mailto:trobe@deakin.edu.au" TargetMode="External"/><Relationship Id="rId111" Type="http://schemas.openxmlformats.org/officeDocument/2006/relationships/hyperlink" Target="mailto:jamie.byrne@deakin.edu.au" TargetMode="External"/><Relationship Id="rId132" Type="http://schemas.openxmlformats.org/officeDocument/2006/relationships/hyperlink" Target="https://www.bbc.com/news/health-49447685" TargetMode="External"/><Relationship Id="rId153" Type="http://schemas.openxmlformats.org/officeDocument/2006/relationships/hyperlink" Target="mailto:miroslav.verbic@ef.uni-lj.si" TargetMode="External"/><Relationship Id="rId174" Type="http://schemas.openxmlformats.org/officeDocument/2006/relationships/hyperlink" Target="mailto:i.bache@sheffield.ac.uk" TargetMode="External"/><Relationship Id="rId195" Type="http://schemas.openxmlformats.org/officeDocument/2006/relationships/hyperlink" Target="http://www.acqol.com.au/instruments" TargetMode="External"/><Relationship Id="rId209" Type="http://schemas.openxmlformats.org/officeDocument/2006/relationships/image" Target="media/image3.png"/><Relationship Id="rId220" Type="http://schemas.openxmlformats.org/officeDocument/2006/relationships/hyperlink" Target="https://apo.org.au/sites/default/files/resource-files/2019/06/apo-nid244236-1369326.pdf" TargetMode="External"/><Relationship Id="rId241" Type="http://schemas.openxmlformats.org/officeDocument/2006/relationships/hyperlink" Target="https://www.theguardian.com/commentisfree/2007/oct/13/comment.publicservices" TargetMode="External"/><Relationship Id="rId15" Type="http://schemas.openxmlformats.org/officeDocument/2006/relationships/hyperlink" Target="https://www.webster-dictionary.org/definition/An" TargetMode="External"/><Relationship Id="rId36" Type="http://schemas.openxmlformats.org/officeDocument/2006/relationships/hyperlink" Target="https://www.webster-dictionary.org/definition/those" TargetMode="External"/><Relationship Id="rId57" Type="http://schemas.openxmlformats.org/officeDocument/2006/relationships/hyperlink" Target="https://www.webster-dictionary.org/definition/blessedness" TargetMode="External"/><Relationship Id="rId10" Type="http://schemas.openxmlformats.org/officeDocument/2006/relationships/hyperlink" Target="https://www.webster-dictionary.org/definition/Good" TargetMode="External"/><Relationship Id="rId31" Type="http://schemas.openxmlformats.org/officeDocument/2006/relationships/hyperlink" Target="https://www.webster-dictionary.org/definition/any" TargetMode="External"/><Relationship Id="rId52" Type="http://schemas.openxmlformats.org/officeDocument/2006/relationships/hyperlink" Target="https://www.webster-dictionary.org/definition/happy" TargetMode="External"/><Relationship Id="rId73" Type="http://schemas.openxmlformats.org/officeDocument/2006/relationships/hyperlink" Target="https://www.psychologytoday.com/au/blog/comparatively-speaking/201909/understanding-why-play-is-so-important-children" TargetMode="External"/><Relationship Id="rId78" Type="http://schemas.openxmlformats.org/officeDocument/2006/relationships/hyperlink" Target="https://rd.springer.com/book/10.1007%2F978-3-030-05535-6" TargetMode="External"/><Relationship Id="rId94" Type="http://schemas.openxmlformats.org/officeDocument/2006/relationships/hyperlink" Target="http://online.wsj.com/public/resources/documents/HSBCSurvey.pdf" TargetMode="External"/><Relationship Id="rId99" Type="http://schemas.openxmlformats.org/officeDocument/2006/relationships/hyperlink" Target="mailto:mark.otto.fabian@gmail.com" TargetMode="External"/><Relationship Id="rId101" Type="http://schemas.openxmlformats.org/officeDocument/2006/relationships/hyperlink" Target="http://www.acqol.com.au/publications" TargetMode="External"/><Relationship Id="rId122" Type="http://schemas.openxmlformats.org/officeDocument/2006/relationships/hyperlink" Target="http://www.acqol.com.au/" TargetMode="External"/><Relationship Id="rId143" Type="http://schemas.openxmlformats.org/officeDocument/2006/relationships/hyperlink" Target="http://www.acqol.com.au/projects" TargetMode="External"/><Relationship Id="rId148" Type="http://schemas.openxmlformats.org/officeDocument/2006/relationships/hyperlink" Target="https://www.sciencedaily.com/releases/2019/07/190719173557.htm" TargetMode="External"/><Relationship Id="rId164" Type="http://schemas.openxmlformats.org/officeDocument/2006/relationships/hyperlink" Target="mailto:trobe@deakin.edu.au" TargetMode="External"/><Relationship Id="rId169" Type="http://schemas.openxmlformats.org/officeDocument/2006/relationships/hyperlink" Target="mailto:robert.cummins@deakin.edu.au" TargetMode="External"/><Relationship Id="rId185" Type="http://schemas.openxmlformats.org/officeDocument/2006/relationships/hyperlink" Target="http://www.acqol.com.au/instruments" TargetMode="External"/><Relationship Id="rId4" Type="http://schemas.openxmlformats.org/officeDocument/2006/relationships/settings" Target="settings.xml"/><Relationship Id="rId9" Type="http://schemas.openxmlformats.org/officeDocument/2006/relationships/hyperlink" Target="mailto:tonyward@bigpond.net.au" TargetMode="External"/><Relationship Id="rId180" Type="http://schemas.openxmlformats.org/officeDocument/2006/relationships/hyperlink" Target="mailto:Nopphol.W@chula.ac.th" TargetMode="External"/><Relationship Id="rId210" Type="http://schemas.openxmlformats.org/officeDocument/2006/relationships/image" Target="cid:49772784-e402-4f81-9dff-3c4143779100@ausprd01.prod.outlook.com" TargetMode="External"/><Relationship Id="rId215" Type="http://schemas.openxmlformats.org/officeDocument/2006/relationships/hyperlink" Target="https://www.sciencealert.com/certain-antidepressants-and-antipsychotic-drugs-may-increase-your-risk-of-dementia" TargetMode="External"/><Relationship Id="rId236" Type="http://schemas.openxmlformats.org/officeDocument/2006/relationships/hyperlink" Target="http://www.oxfordbibliographies.com/view/document/obo-9780199828340/obo-9780199828340-0167.xml" TargetMode="External"/><Relationship Id="rId26" Type="http://schemas.openxmlformats.org/officeDocument/2006/relationships/hyperlink" Target="https://www.webster-dictionary.org/definition/fortune" TargetMode="External"/><Relationship Id="rId231" Type="http://schemas.openxmlformats.org/officeDocument/2006/relationships/hyperlink" Target="mailto:A.Charles@bath.ac.uk" TargetMode="External"/><Relationship Id="rId47" Type="http://schemas.openxmlformats.org/officeDocument/2006/relationships/hyperlink" Target="https://www.webster-dictionary.org/definition/enjoyment" TargetMode="External"/><Relationship Id="rId68" Type="http://schemas.openxmlformats.org/officeDocument/2006/relationships/hyperlink" Target="https://www.merriam-webster.com/dictionary/aptness" TargetMode="External"/><Relationship Id="rId89" Type="http://schemas.openxmlformats.org/officeDocument/2006/relationships/hyperlink" Target="https://www.psychologytoday.com/au/blog/targeted-parenting/201909/the-burnout-we-cant-talk-about-parent-burnout" TargetMode="External"/><Relationship Id="rId112" Type="http://schemas.openxmlformats.org/officeDocument/2006/relationships/hyperlink" Target="http://www.idph.com.br/conteudos/ebooks/BraveNewWorld.pdf" TargetMode="External"/><Relationship Id="rId133" Type="http://schemas.openxmlformats.org/officeDocument/2006/relationships/hyperlink" Target="https://apo.org.au/sites/default/files/resource-files/2019/08/apo-nid253861-1380446.pdf" TargetMode="External"/><Relationship Id="rId154" Type="http://schemas.openxmlformats.org/officeDocument/2006/relationships/hyperlink" Target="mailto:joar.vitterso@uit.no" TargetMode="External"/><Relationship Id="rId175" Type="http://schemas.openxmlformats.org/officeDocument/2006/relationships/hyperlink" Target="mailto:carvalhal_r@hotmail.com" TargetMode="External"/><Relationship Id="rId196" Type="http://schemas.openxmlformats.org/officeDocument/2006/relationships/hyperlink" Target="http://www.acqol.com.au/publications" TargetMode="External"/><Relationship Id="rId200" Type="http://schemas.openxmlformats.org/officeDocument/2006/relationships/hyperlink" Target="https://www.cis.org.au/app/uploads/2019/06/ap4.pdf" TargetMode="External"/><Relationship Id="rId16" Type="http://schemas.openxmlformats.org/officeDocument/2006/relationships/hyperlink" Target="https://www.webster-dictionary.org/definition/agreeable" TargetMode="External"/><Relationship Id="rId221" Type="http://schemas.openxmlformats.org/officeDocument/2006/relationships/hyperlink" Target="mailto:trobe@deakin.edu.au" TargetMode="External"/><Relationship Id="rId242" Type="http://schemas.openxmlformats.org/officeDocument/2006/relationships/hyperlink" Target="http://www.merriam-webster.com" TargetMode="External"/><Relationship Id="rId37" Type="http://schemas.openxmlformats.org/officeDocument/2006/relationships/hyperlink" Target="https://www.webster-dictionary.org/definition/circumstances" TargetMode="External"/><Relationship Id="rId58" Type="http://schemas.openxmlformats.org/officeDocument/2006/relationships/hyperlink" Target="https://www.webster-dictionary.org/definition/Fortuitous" TargetMode="External"/><Relationship Id="rId79" Type="http://schemas.openxmlformats.org/officeDocument/2006/relationships/hyperlink" Target="http://www.merriam-webster.com" TargetMode="External"/><Relationship Id="rId102" Type="http://schemas.openxmlformats.org/officeDocument/2006/relationships/hyperlink" Target="http://www.acqol.com.au/publications" TargetMode="External"/><Relationship Id="rId123" Type="http://schemas.openxmlformats.org/officeDocument/2006/relationships/hyperlink" Target="http://www.acqol.com.au/projects" TargetMode="External"/><Relationship Id="rId144" Type="http://schemas.openxmlformats.org/officeDocument/2006/relationships/hyperlink" Target="mailto:robert.cummins@deakin.edu.au" TargetMode="External"/><Relationship Id="rId90" Type="http://schemas.openxmlformats.org/officeDocument/2006/relationships/hyperlink" Target="mailto:rphillips@purdue.edu" TargetMode="External"/><Relationship Id="rId165" Type="http://schemas.openxmlformats.org/officeDocument/2006/relationships/hyperlink" Target="https://www.sciencedaily.com/releases/2019/07/190722111900.htm" TargetMode="External"/><Relationship Id="rId186" Type="http://schemas.openxmlformats.org/officeDocument/2006/relationships/hyperlink" Target="https://theconversation.com/migrants-who-adapt-to-australian-culture-say-theyre-happier-than-those-who-dont-117264" TargetMode="External"/><Relationship Id="rId211" Type="http://schemas.openxmlformats.org/officeDocument/2006/relationships/hyperlink" Target="http://www.acqol.com.au/publications" TargetMode="External"/><Relationship Id="rId232" Type="http://schemas.openxmlformats.org/officeDocument/2006/relationships/hyperlink" Target="mailto:chenwy@umich.edu" TargetMode="External"/><Relationship Id="rId27" Type="http://schemas.openxmlformats.org/officeDocument/2006/relationships/hyperlink" Target="https://www.webster-dictionary.org/definition/or" TargetMode="External"/><Relationship Id="rId48" Type="http://schemas.openxmlformats.org/officeDocument/2006/relationships/hyperlink" Target="https://www.webster-dictionary.org/definition/the" TargetMode="External"/><Relationship Id="rId69" Type="http://schemas.openxmlformats.org/officeDocument/2006/relationships/hyperlink" Target="https://www.merriam-webster.com/dictionary/prosperity" TargetMode="External"/><Relationship Id="rId113" Type="http://schemas.openxmlformats.org/officeDocument/2006/relationships/hyperlink" Target="http://www.oxfordbibliographies.com/view/document/obo-9780199828340/obo-9780199828340-0167.xml" TargetMode="External"/><Relationship Id="rId134" Type="http://schemas.openxmlformats.org/officeDocument/2006/relationships/hyperlink" Target="mailto:trobe@deakin.edu.au" TargetMode="External"/><Relationship Id="rId80" Type="http://schemas.openxmlformats.org/officeDocument/2006/relationships/hyperlink" Target="https://cupola.gettysburg.edu/cgi/viewcontent.cgi?referer=https://en.wikipedia.org/" TargetMode="External"/><Relationship Id="rId155" Type="http://schemas.openxmlformats.org/officeDocument/2006/relationships/hyperlink" Target="mailto:thomassa@deakin.edu.au" TargetMode="External"/><Relationship Id="rId176" Type="http://schemas.openxmlformats.org/officeDocument/2006/relationships/hyperlink" Target="mailto:armando_fatigati@wsib.on.ca" TargetMode="External"/><Relationship Id="rId197" Type="http://schemas.openxmlformats.org/officeDocument/2006/relationships/hyperlink" Target="http://www.acqol.com.au/" TargetMode="External"/><Relationship Id="rId201" Type="http://schemas.openxmlformats.org/officeDocument/2006/relationships/hyperlink" Target="mailto:trobe@deakin.edu.au" TargetMode="External"/><Relationship Id="rId222" Type="http://schemas.openxmlformats.org/officeDocument/2006/relationships/hyperlink" Target="https://www.sciencealert.com/period-pain-is-probably-causing-days-of-lost-productivity-each-year" TargetMode="External"/><Relationship Id="rId243" Type="http://schemas.openxmlformats.org/officeDocument/2006/relationships/hyperlink" Target="http://online.wsj.com/public/resources/documents/HSBCSurvey.pdf" TargetMode="External"/><Relationship Id="rId17" Type="http://schemas.openxmlformats.org/officeDocument/2006/relationships/hyperlink" Target="https://www.webster-dictionary.org/definition/feeling" TargetMode="External"/><Relationship Id="rId38" Type="http://schemas.openxmlformats.org/officeDocument/2006/relationships/hyperlink" Target="https://www.webster-dictionary.org/definition/or" TargetMode="External"/><Relationship Id="rId59" Type="http://schemas.openxmlformats.org/officeDocument/2006/relationships/hyperlink" Target="https://www.webster-dictionary.org/definition/elegance" TargetMode="External"/><Relationship Id="rId103" Type="http://schemas.openxmlformats.org/officeDocument/2006/relationships/hyperlink" Target="https://www.brookings.edu/wp-content/uploads/2019/08/UBI-ESG-Memo-082319.pdf" TargetMode="External"/><Relationship Id="rId124" Type="http://schemas.openxmlformats.org/officeDocument/2006/relationships/hyperlink" Target="mailto:simon.albrecht@deakin.edu.au" TargetMode="External"/><Relationship Id="rId70" Type="http://schemas.openxmlformats.org/officeDocument/2006/relationships/hyperlink" Target="mailto:robert.cummins@deakin.edu.au" TargetMode="External"/><Relationship Id="rId91" Type="http://schemas.openxmlformats.org/officeDocument/2006/relationships/hyperlink" Target="mailto:jovarela@udd.cl" TargetMode="External"/><Relationship Id="rId145" Type="http://schemas.openxmlformats.org/officeDocument/2006/relationships/hyperlink" Target="https://apo.org.au/sites/default/files/resource-files/2019/08/apo-nid252746-1378926.pdf" TargetMode="External"/><Relationship Id="rId166" Type="http://schemas.openxmlformats.org/officeDocument/2006/relationships/hyperlink" Target="http://www.oxfordbibliographies.com/view/document/obo-9780199828340/obo-9780199828340-0167.xml" TargetMode="External"/><Relationship Id="rId187" Type="http://schemas.openxmlformats.org/officeDocument/2006/relationships/hyperlink" Target="https://www.project-syndicate.org/columnist/raj-persaud" TargetMode="External"/><Relationship Id="rId1" Type="http://schemas.openxmlformats.org/officeDocument/2006/relationships/customXml" Target="../customXml/item1.xml"/><Relationship Id="rId212" Type="http://schemas.openxmlformats.org/officeDocument/2006/relationships/hyperlink" Target="http://www.acqol.com.au/instruments" TargetMode="External"/><Relationship Id="rId233" Type="http://schemas.openxmlformats.org/officeDocument/2006/relationships/hyperlink" Target="mailto:Nathan.Deichert@bhsu.edu" TargetMode="External"/><Relationship Id="rId28" Type="http://schemas.openxmlformats.org/officeDocument/2006/relationships/hyperlink" Target="https://www.webster-dictionary.org/definition/propitious" TargetMode="External"/><Relationship Id="rId49" Type="http://schemas.openxmlformats.org/officeDocument/2006/relationships/hyperlink" Target="https://www.webster-dictionary.org/definition/state" TargetMode="External"/><Relationship Id="rId114" Type="http://schemas.openxmlformats.org/officeDocument/2006/relationships/hyperlink" Target="http://www.acqol.com.au/" TargetMode="External"/><Relationship Id="rId60" Type="http://schemas.openxmlformats.org/officeDocument/2006/relationships/hyperlink" Target="https://www.webster-dictionary.org/definition/unstudied" TargetMode="External"/><Relationship Id="rId81" Type="http://schemas.openxmlformats.org/officeDocument/2006/relationships/hyperlink" Target="http://www.acqol.com.au/" TargetMode="External"/><Relationship Id="rId135" Type="http://schemas.openxmlformats.org/officeDocument/2006/relationships/hyperlink" Target="https://www.sciencenews.org/article/war-emotional-wounds-ptsd-syria-refugee-children" TargetMode="External"/><Relationship Id="rId156" Type="http://schemas.openxmlformats.org/officeDocument/2006/relationships/hyperlink" Target="http://www.acqol.com.au/" TargetMode="External"/><Relationship Id="rId177" Type="http://schemas.openxmlformats.org/officeDocument/2006/relationships/hyperlink" Target="mailto:ghulam.rasool@econ.uol.edu.pk" TargetMode="External"/><Relationship Id="rId198" Type="http://schemas.openxmlformats.org/officeDocument/2006/relationships/hyperlink" Target="http://www.acqol.com.au/projects" TargetMode="External"/><Relationship Id="rId202" Type="http://schemas.openxmlformats.org/officeDocument/2006/relationships/hyperlink" Target="https://www.sciencealert.com/burn-out-is-now-officially-recognised-as-a-legitimate-syndrome-by-the-world-health-organisation?perpetual=yes&amp;limitstart=1" TargetMode="External"/><Relationship Id="rId223" Type="http://schemas.openxmlformats.org/officeDocument/2006/relationships/hyperlink" Target="http://www.acqol.com.au/" TargetMode="External"/><Relationship Id="rId244" Type="http://schemas.openxmlformats.org/officeDocument/2006/relationships/hyperlink" Target="https://cupola.gettysburg.edu/cgi/viewcontent.cgi?referer=https://en.wikipedia.org/" TargetMode="External"/><Relationship Id="rId18" Type="http://schemas.openxmlformats.org/officeDocument/2006/relationships/hyperlink" Target="https://www.webster-dictionary.org/definition/or" TargetMode="External"/><Relationship Id="rId39" Type="http://schemas.openxmlformats.org/officeDocument/2006/relationships/hyperlink" Target="https://www.webster-dictionary.org/definition/that" TargetMode="External"/><Relationship Id="rId50" Type="http://schemas.openxmlformats.org/officeDocument/2006/relationships/hyperlink" Target="https://www.webster-dictionary.org/definition/of" TargetMode="External"/><Relationship Id="rId104" Type="http://schemas.openxmlformats.org/officeDocument/2006/relationships/hyperlink" Target="mailto:trobe@deakin.edu.au" TargetMode="External"/><Relationship Id="rId125" Type="http://schemas.openxmlformats.org/officeDocument/2006/relationships/hyperlink" Target="mailto:robert.cummins@deakin.edu.au" TargetMode="External"/><Relationship Id="rId146" Type="http://schemas.openxmlformats.org/officeDocument/2006/relationships/image" Target="media/image2.emf"/><Relationship Id="rId167" Type="http://schemas.openxmlformats.org/officeDocument/2006/relationships/hyperlink" Target="http://www.acqol.com.au/" TargetMode="External"/><Relationship Id="rId188" Type="http://schemas.openxmlformats.org/officeDocument/2006/relationships/hyperlink" Target="https://www.economist.com/international/2019/07/11/why-are-happy-people-voting-for-angry-parties" TargetMode="External"/><Relationship Id="rId71" Type="http://schemas.openxmlformats.org/officeDocument/2006/relationships/hyperlink" Target="https://apo.org.au/sites/default/files/resource-files/2019/09/apo-nid258136-1385626.pdf" TargetMode="External"/><Relationship Id="rId92" Type="http://schemas.openxmlformats.org/officeDocument/2006/relationships/hyperlink" Target="https://www.cia.gov/library/publications/resources/the-world-factbook/fields/2172.html" TargetMode="External"/><Relationship Id="rId213" Type="http://schemas.openxmlformats.org/officeDocument/2006/relationships/hyperlink" Target="https://www.drugrehabconnections.com/addiction/alcohol/self-assessment/" TargetMode="External"/><Relationship Id="rId234" Type="http://schemas.openxmlformats.org/officeDocument/2006/relationships/hyperlink" Target="mailto:johannes.heekerens@gmx.de" TargetMode="External"/><Relationship Id="rId2" Type="http://schemas.openxmlformats.org/officeDocument/2006/relationships/numbering" Target="numbering.xml"/><Relationship Id="rId29" Type="http://schemas.openxmlformats.org/officeDocument/2006/relationships/hyperlink" Target="https://www.webster-dictionary.org/definition/happening" TargetMode="External"/><Relationship Id="rId40" Type="http://schemas.openxmlformats.org/officeDocument/2006/relationships/hyperlink" Target="https://www.webster-dictionary.org/definition/state" TargetMode="External"/><Relationship Id="rId115" Type="http://schemas.openxmlformats.org/officeDocument/2006/relationships/hyperlink" Target="http://www.acqol.com.au/projects" TargetMode="External"/><Relationship Id="rId136" Type="http://schemas.openxmlformats.org/officeDocument/2006/relationships/hyperlink" Target="mailto:joanna.giannes@gmail.com" TargetMode="External"/><Relationship Id="rId157" Type="http://schemas.openxmlformats.org/officeDocument/2006/relationships/hyperlink" Target="http://www.acqol.com.au/projects" TargetMode="External"/><Relationship Id="rId178" Type="http://schemas.openxmlformats.org/officeDocument/2006/relationships/hyperlink" Target="mailto:ortega@uma.es" TargetMode="External"/><Relationship Id="rId61" Type="http://schemas.openxmlformats.org/officeDocument/2006/relationships/hyperlink" Target="https://www.webster-dictionary.org/definition/grace" TargetMode="External"/><Relationship Id="rId82" Type="http://schemas.openxmlformats.org/officeDocument/2006/relationships/hyperlink" Target="http://www.acqol.com.au/projects" TargetMode="External"/><Relationship Id="rId199" Type="http://schemas.openxmlformats.org/officeDocument/2006/relationships/hyperlink" Target="mailto:robert.cummins@deakin.edu.au" TargetMode="External"/><Relationship Id="rId203" Type="http://schemas.openxmlformats.org/officeDocument/2006/relationships/hyperlink" Target="mailto:narimanelakmache@yahoo.com" TargetMode="External"/><Relationship Id="rId19" Type="http://schemas.openxmlformats.org/officeDocument/2006/relationships/hyperlink" Target="https://www.webster-dictionary.org/definition/condition" TargetMode="External"/><Relationship Id="rId224" Type="http://schemas.openxmlformats.org/officeDocument/2006/relationships/hyperlink" Target="http://www.acqol.com.au/projects" TargetMode="External"/><Relationship Id="rId245" Type="http://schemas.openxmlformats.org/officeDocument/2006/relationships/hyperlink" Target="https://doi.org/10.3389/fpsyg.2019.02025" TargetMode="External"/><Relationship Id="rId30" Type="http://schemas.openxmlformats.org/officeDocument/2006/relationships/hyperlink" Target="https://www.webster-dictionary.org/definition/of" TargetMode="External"/><Relationship Id="rId105" Type="http://schemas.openxmlformats.org/officeDocument/2006/relationships/hyperlink" Target="https://www.sciencenews.org/article/what-we-know-how-mass-trauma-affects-mental-health" TargetMode="External"/><Relationship Id="rId126" Type="http://schemas.openxmlformats.org/officeDocument/2006/relationships/hyperlink" Target="mailto:klyall@deakin.edu.au" TargetMode="External"/><Relationship Id="rId147" Type="http://schemas.openxmlformats.org/officeDocument/2006/relationships/hyperlink" Target="mailto:trobe@deakin.edu.au" TargetMode="External"/><Relationship Id="rId168" Type="http://schemas.openxmlformats.org/officeDocument/2006/relationships/hyperlink" Target="http://www.acqol.com.au/projects" TargetMode="External"/><Relationship Id="rId51" Type="http://schemas.openxmlformats.org/officeDocument/2006/relationships/hyperlink" Target="https://www.webster-dictionary.org/definition/being" TargetMode="External"/><Relationship Id="rId72" Type="http://schemas.openxmlformats.org/officeDocument/2006/relationships/hyperlink" Target="mailto:trobe@deakin.edu.au" TargetMode="External"/><Relationship Id="rId93" Type="http://schemas.openxmlformats.org/officeDocument/2006/relationships/hyperlink" Target="http://www.oxfordbibliographies.com/view/document/obo-9780199828340/obo-9780199828340-0167.xml" TargetMode="External"/><Relationship Id="rId189" Type="http://schemas.openxmlformats.org/officeDocument/2006/relationships/hyperlink" Target="https://theconversation.com/profiles/lisa-a-williams-102079" TargetMode="External"/><Relationship Id="rId3" Type="http://schemas.openxmlformats.org/officeDocument/2006/relationships/styles" Target="styles.xml"/><Relationship Id="rId214" Type="http://schemas.openxmlformats.org/officeDocument/2006/relationships/hyperlink" Target="mailto:trobe@deakin.edu.au" TargetMode="External"/><Relationship Id="rId235" Type="http://schemas.openxmlformats.org/officeDocument/2006/relationships/hyperlink" Target="mailto:psytmwe@nus.edu.sg" TargetMode="External"/><Relationship Id="rId116" Type="http://schemas.openxmlformats.org/officeDocument/2006/relationships/hyperlink" Target="mailto:robert.cummins@deakin.edu.au" TargetMode="External"/><Relationship Id="rId137" Type="http://schemas.openxmlformats.org/officeDocument/2006/relationships/hyperlink" Target="mailto:mark.otto.fabian@gmail.com" TargetMode="External"/><Relationship Id="rId158" Type="http://schemas.openxmlformats.org/officeDocument/2006/relationships/hyperlink" Target="mailto:robert.cummins@deakin.edu.au" TargetMode="External"/><Relationship Id="rId20" Type="http://schemas.openxmlformats.org/officeDocument/2006/relationships/hyperlink" Target="https://www.webster-dictionary.org/definition/of" TargetMode="External"/><Relationship Id="rId41" Type="http://schemas.openxmlformats.org/officeDocument/2006/relationships/hyperlink" Target="https://www.webster-dictionary.org/definition/of" TargetMode="External"/><Relationship Id="rId62" Type="http://schemas.openxmlformats.org/officeDocument/2006/relationships/hyperlink" Target="https://www.webster-dictionary.org/definition/used" TargetMode="External"/><Relationship Id="rId83" Type="http://schemas.openxmlformats.org/officeDocument/2006/relationships/hyperlink" Target="mailto:robert.cummins@deakin.edu.au" TargetMode="External"/><Relationship Id="rId179" Type="http://schemas.openxmlformats.org/officeDocument/2006/relationships/hyperlink" Target="mailto:pareto@istat.it" TargetMode="External"/><Relationship Id="rId190" Type="http://schemas.openxmlformats.org/officeDocument/2006/relationships/hyperlink" Target="https://theconversation.com/having-a-sense-of-meaning-in-life-is-good-for-you-so-how-do-you-get-one-110361?utm_medium=email&amp;utm_campaign=Latest%20from%20The%20Conversation%20for%20February%2014%202019%20-%201235611381&amp;utm_content=Latest%20from%20The%20Conversation%20for%20February%2014%202019%20-%201235611381+CID_acd309e4485ff42cc4ed4e7e4a439b51&amp;utm_source=campaign_monitor&amp;utm_term=Having%20a%20sense%20of%20meaning%20in%20life%20is%20good%20for%20you%20%20so%20how%20do%20you%20get%20one" TargetMode="External"/><Relationship Id="rId204" Type="http://schemas.openxmlformats.org/officeDocument/2006/relationships/hyperlink" Target="mailto:charlene.borg@inspire.org.mt" TargetMode="External"/><Relationship Id="rId225" Type="http://schemas.openxmlformats.org/officeDocument/2006/relationships/hyperlink" Target="mailto:klyall@deakin.edu.au" TargetMode="External"/><Relationship Id="rId246" Type="http://schemas.openxmlformats.org/officeDocument/2006/relationships/fontTable" Target="fontTable.xml"/><Relationship Id="rId106" Type="http://schemas.openxmlformats.org/officeDocument/2006/relationships/hyperlink" Target="mailto:aquilesrafael@hotmail.com" TargetMode="External"/><Relationship Id="rId127" Type="http://schemas.openxmlformats.org/officeDocument/2006/relationships/hyperlink" Target="https://en.wikipedia.org/wiki/Cartoon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D4262-13DB-4F45-9B10-B146645E9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48676</Words>
  <Characters>290597</Characters>
  <Application>Microsoft Office Word</Application>
  <DocSecurity>0</DocSecurity>
  <Lines>7451</Lines>
  <Paragraphs>4846</Paragraphs>
  <ScaleCrop>false</ScaleCrop>
  <HeadingPairs>
    <vt:vector size="2" baseType="variant">
      <vt:variant>
        <vt:lpstr>Title</vt:lpstr>
      </vt:variant>
      <vt:variant>
        <vt:i4>1</vt:i4>
      </vt:variant>
    </vt:vector>
  </HeadingPairs>
  <TitlesOfParts>
    <vt:vector size="1" baseType="lpstr">
      <vt:lpstr/>
    </vt:vector>
  </TitlesOfParts>
  <Company>Deakin University</Company>
  <LinksUpToDate>false</LinksUpToDate>
  <CharactersWithSpaces>334427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Cummins</dc:creator>
  <cp:keywords/>
  <dc:description/>
  <cp:lastModifiedBy>Microsoft Office User</cp:lastModifiedBy>
  <cp:revision>2</cp:revision>
  <dcterms:created xsi:type="dcterms:W3CDTF">2019-10-27T23:22:00Z</dcterms:created>
  <dcterms:modified xsi:type="dcterms:W3CDTF">2019-10-27T23:22:00Z</dcterms:modified>
</cp:coreProperties>
</file>